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理学院研究生学业奖学金评审实施细则</w:t>
      </w:r>
    </w:p>
    <w:bookmarkEnd w:id="0"/>
    <w:p>
      <w:pPr>
        <w:spacing w:before="156" w:beforeLines="50" w:after="156" w:afterLines="50" w:line="6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第一章 总 则</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为做好我院研究生学业奖学金评定工作，根据《西北农林科技大学研究生学业奖学金管理办法（试行）》（校研发〔2014〕429号），结合我院实际，制定本细则。</w:t>
      </w:r>
    </w:p>
    <w:p>
      <w:pPr>
        <w:widowControl/>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sz w:val="32"/>
          <w:szCs w:val="32"/>
        </w:rPr>
        <w:t xml:space="preserve">第二条 </w:t>
      </w:r>
      <w:r>
        <w:rPr>
          <w:rFonts w:hint="eastAsia" w:ascii="仿宋_GB2312" w:hAnsi="仿宋_GB2312" w:eastAsia="仿宋_GB2312" w:cs="仿宋_GB2312"/>
          <w:kern w:val="0"/>
          <w:sz w:val="32"/>
          <w:szCs w:val="32"/>
        </w:rPr>
        <w:t>研究生学业奖学金评审工作坚持“公正、公平、公开、择优”原则。奖励对象为就读我院的全日制研究生，不包括在职研究生，获得奖励的研究生必须具有中华人民共和国国籍。超过基本学习年限的研究生，不再具备研究生学业奖学金参评资格。</w:t>
      </w:r>
    </w:p>
    <w:p>
      <w:pPr>
        <w:spacing w:before="156" w:beforeLines="50" w:after="156" w:afterLines="50" w:line="6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第二章 奖励等级、标准与比例 </w:t>
      </w:r>
    </w:p>
    <w:p>
      <w:pPr>
        <w:widowControl/>
        <w:shd w:val="clear" w:color="auto" w:fill="FFFFFF"/>
        <w:spacing w:line="60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sz w:val="32"/>
          <w:szCs w:val="32"/>
        </w:rPr>
        <w:t xml:space="preserve">第三条 </w:t>
      </w:r>
      <w:r>
        <w:rPr>
          <w:rFonts w:hint="eastAsia" w:ascii="仿宋_GB2312" w:hAnsi="仿宋_GB2312" w:eastAsia="仿宋_GB2312" w:cs="仿宋_GB2312"/>
          <w:kern w:val="0"/>
          <w:sz w:val="32"/>
          <w:szCs w:val="32"/>
        </w:rPr>
        <w:t>博士研究生学业奖学金平均奖励标准为每生每年15000元。第一学年不分等级；第二和第三学年奖励等级与标准分别为一等奖每生每年18000元、二等奖每生每年15000元、三等奖每生每年12000元；奖励比例为一等奖占20%、二等奖占60%、三等奖占20%。</w:t>
      </w:r>
    </w:p>
    <w:p>
      <w:pPr>
        <w:widowControl/>
        <w:shd w:val="clear" w:color="auto" w:fill="FFFFFF"/>
        <w:spacing w:line="60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sz w:val="32"/>
          <w:szCs w:val="32"/>
        </w:rPr>
        <w:t xml:space="preserve">第四条 </w:t>
      </w:r>
      <w:r>
        <w:rPr>
          <w:rFonts w:hint="eastAsia" w:ascii="仿宋_GB2312" w:hAnsi="仿宋_GB2312" w:eastAsia="仿宋_GB2312" w:cs="仿宋_GB2312"/>
          <w:kern w:val="0"/>
          <w:sz w:val="32"/>
          <w:szCs w:val="32"/>
        </w:rPr>
        <w:t>学术型硕士研究生学业奖学金平均奖励标准为每生每年8000元。第一学年不分等级；第二和第三学年奖励等级与标准分别为一等奖每生每年10000元、二等奖每生每年8000元、三等奖每生每年6000元；按专业划定奖励比例，奖励比例为一等奖占20%、二等奖占60%、三等奖占20%。</w:t>
      </w:r>
    </w:p>
    <w:p>
      <w:pPr>
        <w:widowControl/>
        <w:shd w:val="clear" w:color="auto" w:fill="FFFFFF"/>
        <w:spacing w:line="60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sz w:val="32"/>
          <w:szCs w:val="32"/>
        </w:rPr>
        <w:t xml:space="preserve">第五条 </w:t>
      </w:r>
      <w:r>
        <w:rPr>
          <w:rFonts w:hint="eastAsia" w:ascii="仿宋_GB2312" w:hAnsi="仿宋_GB2312" w:eastAsia="仿宋_GB2312" w:cs="仿宋_GB2312"/>
          <w:kern w:val="0"/>
          <w:sz w:val="32"/>
          <w:szCs w:val="32"/>
        </w:rPr>
        <w:t>直博生、硕博连读研究生第一至第二学年执行学术型硕士研究生的奖励标准，直博生第三至第五学年执行博士研究生的奖励标准，硕博连读研究生转为博士研究生执行博士研究生奖励标准，转为硕士研究生执行学术型硕士研究生奖励标准。</w:t>
      </w:r>
    </w:p>
    <w:p>
      <w:pPr>
        <w:spacing w:before="156" w:beforeLines="50" w:after="156" w:afterLines="50" w:line="6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第三章 申请条件</w:t>
      </w:r>
    </w:p>
    <w:p>
      <w:pPr>
        <w:widowControl/>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sz w:val="32"/>
          <w:szCs w:val="32"/>
        </w:rPr>
        <w:t xml:space="preserve">第六条 </w:t>
      </w:r>
      <w:r>
        <w:rPr>
          <w:rFonts w:hint="eastAsia" w:ascii="仿宋_GB2312" w:hAnsi="仿宋_GB2312" w:eastAsia="仿宋_GB2312" w:cs="仿宋_GB2312"/>
          <w:kern w:val="0"/>
          <w:sz w:val="32"/>
          <w:szCs w:val="32"/>
        </w:rPr>
        <w:t>研究生学业奖学金基本申请条件：</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1．热爱社会主义祖国，拥护中国共产党的领导；</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2．遵守宪法和法律，遵守学校规章制度；</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3．诚实守信，品学兼优；</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4．积极参与科学研究、社会实践及社会公益活动。</w:t>
      </w:r>
    </w:p>
    <w:p>
      <w:pPr>
        <w:widowControl/>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sz w:val="32"/>
          <w:szCs w:val="32"/>
        </w:rPr>
        <w:t xml:space="preserve">第七条 </w:t>
      </w:r>
      <w:r>
        <w:rPr>
          <w:rFonts w:hint="eastAsia" w:ascii="仿宋_GB2312" w:hAnsi="仿宋_GB2312" w:eastAsia="仿宋_GB2312" w:cs="仿宋_GB2312"/>
          <w:kern w:val="0"/>
          <w:sz w:val="32"/>
          <w:szCs w:val="32"/>
        </w:rPr>
        <w:t>研究生参评学年有下列情形之一的，不具备当年学业奖学金申请资格：</w:t>
      </w:r>
    </w:p>
    <w:p>
      <w:pPr>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1．在学校规定时间内未完成学籍注册手续者；</w:t>
      </w:r>
    </w:p>
    <w:p>
      <w:pPr>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2．学术研究中有违反学术道德行为或申请材料中弄虚作假者；</w:t>
      </w:r>
    </w:p>
    <w:p>
      <w:pPr>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3．在学习或科研工作中，因个人主观行为给学校或学院带来严重损害者；</w:t>
      </w:r>
    </w:p>
    <w:p>
      <w:pPr>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4．违反国家法律法规或校纪校规受到记过以上（含记过）纪律处分者；</w:t>
      </w:r>
    </w:p>
    <w:p>
      <w:pPr>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5．学校认定的其他情形。</w:t>
      </w:r>
    </w:p>
    <w:p>
      <w:pPr>
        <w:spacing w:line="600" w:lineRule="exact"/>
        <w:ind w:firstLine="630" w:firstLineChars="196"/>
        <w:jc w:val="left"/>
        <w:rPr>
          <w:rFonts w:ascii="仿宋_GB2312" w:hAnsi="仿宋_GB2312" w:eastAsia="仿宋_GB2312" w:cs="仿宋_GB2312"/>
          <w:kern w:val="0"/>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kern w:val="0"/>
          <w:sz w:val="32"/>
          <w:szCs w:val="32"/>
        </w:rPr>
        <w:t>因公在国（境）外学习且具有我校学籍的研究生仍具备研究生学业奖学金申请资格。研究生在休学或保留学籍期间，不具备研究生学业奖学金申请资格。</w:t>
      </w:r>
    </w:p>
    <w:p>
      <w:pPr>
        <w:spacing w:before="156" w:beforeLines="50" w:after="156" w:afterLines="50" w:line="6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第四章  评审组织与程序</w:t>
      </w:r>
    </w:p>
    <w:p>
      <w:pPr>
        <w:shd w:val="solid" w:color="FFFFFF" w:fill="auto"/>
        <w:autoSpaceDN w:val="0"/>
        <w:spacing w:line="600" w:lineRule="exact"/>
        <w:ind w:firstLine="643"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rPr>
        <w:t xml:space="preserve">第九条 </w:t>
      </w:r>
      <w:r>
        <w:rPr>
          <w:rFonts w:hint="eastAsia" w:ascii="仿宋_GB2312" w:hAnsi="仿宋_GB2312" w:eastAsia="仿宋_GB2312" w:cs="仿宋_GB2312"/>
          <w:kern w:val="0"/>
          <w:sz w:val="32"/>
          <w:szCs w:val="32"/>
        </w:rPr>
        <w:t>学院成立研究生学业奖学金评审工作领导小组，负责研究生学业奖学金的申请组织和评审工作。领导小组由学院院长、党委书记任组长，主</w:t>
      </w:r>
      <w:r>
        <w:rPr>
          <w:rFonts w:hint="eastAsia" w:ascii="仿宋_GB2312" w:hAnsi="仿宋_GB2312" w:eastAsia="仿宋_GB2312" w:cs="仿宋_GB2312"/>
          <w:sz w:val="32"/>
          <w:szCs w:val="32"/>
        </w:rPr>
        <w:t>管研究生思想政治教育和培养工作的院领导、研究生导师代表、研究生秘书、辅导员、研究生代表为成员。</w:t>
      </w:r>
    </w:p>
    <w:p>
      <w:pPr>
        <w:spacing w:line="600" w:lineRule="exact"/>
        <w:ind w:left="-4" w:leftChars="-2"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研究生学业奖学金评审程序：</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人申请：申请研究生如实填写研究生政治思想品德考核表、研究生学业奖学金申请审批表并提供有关证明材料（其中公开发表的学术研究论文本人须为第一作者、导师为通讯作者、西北农林科技大学为第一署名单位），申请时必须提供期刊封面、目录和文章第一页，经导师签署意见后向学院提出申请。</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2．学院评审：学院研究生学业奖学金评审工作领导小组负责组织专家进行评审，评审结果在学院公示3个工作日，公示无异议后提交学校审定。</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3．学校审定：学校研究生学业奖学金专项工作组对学院的评审结果进行审定，审定结果在校内公示3个工作日，公示无异议进行发放。</w:t>
      </w:r>
    </w:p>
    <w:p>
      <w:pPr>
        <w:widowControl/>
        <w:shd w:val="clear" w:color="auto" w:fill="FFFFFF"/>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sz w:val="32"/>
          <w:szCs w:val="32"/>
        </w:rPr>
        <w:t xml:space="preserve"> 对研究生学业奖学金评审工作及结果有异议者，可在公示阶段向学院</w:t>
      </w:r>
      <w:r>
        <w:rPr>
          <w:rFonts w:hint="eastAsia" w:ascii="仿宋_GB2312" w:hAnsi="仿宋_GB2312" w:eastAsia="仿宋_GB2312" w:cs="仿宋_GB2312"/>
          <w:kern w:val="0"/>
          <w:sz w:val="32"/>
          <w:szCs w:val="32"/>
        </w:rPr>
        <w:t>研究生学业奖学金评审工作领导小组</w:t>
      </w:r>
      <w:r>
        <w:rPr>
          <w:rFonts w:hint="eastAsia" w:ascii="仿宋_GB2312" w:hAnsi="仿宋_GB2312" w:eastAsia="仿宋_GB2312" w:cs="仿宋_GB2312"/>
          <w:sz w:val="32"/>
          <w:szCs w:val="32"/>
        </w:rPr>
        <w:t>提出申诉。如申诉人对学院做出的答复仍存在异议，可在学校公示阶段向学校研究生学业奖学金专项工作组提请裁决。</w:t>
      </w:r>
    </w:p>
    <w:p>
      <w:pPr>
        <w:spacing w:before="156" w:beforeLines="50" w:after="156" w:afterLines="50" w:line="6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第五章  其 他</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第十二条 </w:t>
      </w:r>
      <w:r>
        <w:rPr>
          <w:rFonts w:hint="eastAsia" w:ascii="仿宋_GB2312" w:hAnsi="仿宋_GB2312" w:eastAsia="仿宋_GB2312" w:cs="仿宋_GB2312"/>
          <w:sz w:val="32"/>
          <w:szCs w:val="32"/>
        </w:rPr>
        <w:t>研究生学业奖学金按学校划定比例分专业评定，在评定过程中，若同一评定类别内的研究生出现总分相同的情况</w:t>
      </w:r>
      <w:r>
        <w:rPr>
          <w:rFonts w:hint="eastAsia" w:ascii="仿宋_GB2312" w:hAnsi="仿宋_GB2312" w:eastAsia="仿宋_GB2312" w:cs="仿宋_GB2312"/>
          <w:color w:val="000000" w:themeColor="text1"/>
          <w:sz w:val="32"/>
          <w:szCs w:val="32"/>
        </w:rPr>
        <w:t>，以论文分区、单篇影响因子排序；若仍出现相同分数的，再依次以英语六级、学位课加权平均分</w:t>
      </w:r>
      <w:r>
        <w:rPr>
          <w:rFonts w:hint="eastAsia" w:ascii="仿宋_GB2312" w:hAnsi="仿宋_GB2312" w:eastAsia="仿宋_GB2312" w:cs="仿宋_GB2312"/>
          <w:sz w:val="32"/>
          <w:szCs w:val="32"/>
        </w:rPr>
        <w:t>确定排序</w:t>
      </w:r>
      <w:r>
        <w:rPr>
          <w:rFonts w:hint="eastAsia" w:ascii="仿宋_GB2312" w:hAnsi="仿宋_GB2312" w:eastAsia="仿宋_GB2312" w:cs="仿宋_GB2312"/>
          <w:color w:val="000000"/>
          <w:sz w:val="32"/>
          <w:szCs w:val="32"/>
          <w:shd w:val="clear" w:color="auto" w:fill="FFFFFF"/>
        </w:rPr>
        <w:t>。</w:t>
      </w:r>
    </w:p>
    <w:p>
      <w:pPr>
        <w:widowControl/>
        <w:shd w:val="clear" w:color="auto" w:fill="FFFFFF"/>
        <w:spacing w:line="600" w:lineRule="exact"/>
        <w:ind w:firstLine="562"/>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第十三条 </w:t>
      </w:r>
      <w:r>
        <w:rPr>
          <w:rFonts w:hint="eastAsia" w:ascii="仿宋_GB2312" w:hAnsi="仿宋_GB2312" w:eastAsia="仿宋_GB2312" w:cs="仿宋_GB2312"/>
          <w:sz w:val="32"/>
          <w:szCs w:val="32"/>
        </w:rPr>
        <w:t>学位课未经审批同意缓考或者学位课课程考试不及格、或重修后不及格者，当年不得申请一、二等专业奖学金。</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第十四条</w:t>
      </w:r>
      <w:r>
        <w:rPr>
          <w:rFonts w:hint="eastAsia" w:ascii="仿宋_GB2312" w:hAnsi="仿宋_GB2312" w:eastAsia="仿宋_GB2312" w:cs="仿宋_GB2312"/>
          <w:sz w:val="32"/>
          <w:szCs w:val="32"/>
        </w:rPr>
        <w:t xml:space="preserve"> 其他未尽事项按 《西北农林科技大学研究生学业奖学金管理办法（试行）》（校研发〔2014〕429号）执行。</w:t>
      </w:r>
    </w:p>
    <w:p>
      <w:pPr>
        <w:spacing w:before="156" w:beforeLines="50" w:after="156" w:afterLines="50" w:line="6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第六 章  附 则</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第十八条</w:t>
      </w:r>
      <w:r>
        <w:rPr>
          <w:rFonts w:hint="eastAsia" w:ascii="仿宋_GB2312" w:hAnsi="仿宋_GB2312" w:eastAsia="仿宋_GB2312" w:cs="仿宋_GB2312"/>
          <w:sz w:val="32"/>
          <w:szCs w:val="32"/>
        </w:rPr>
        <w:t xml:space="preserve">  本办法由理学院</w:t>
      </w:r>
      <w:r>
        <w:rPr>
          <w:rFonts w:hint="eastAsia" w:ascii="仿宋_GB2312" w:hAnsi="仿宋_GB2312" w:eastAsia="仿宋_GB2312" w:cs="仿宋_GB2312"/>
          <w:kern w:val="0"/>
          <w:sz w:val="32"/>
          <w:szCs w:val="32"/>
        </w:rPr>
        <w:t>研究生学业奖学金评审工作领导小组</w:t>
      </w:r>
      <w:r>
        <w:rPr>
          <w:rFonts w:hint="eastAsia" w:ascii="仿宋_GB2312" w:hAnsi="仿宋_GB2312" w:eastAsia="仿宋_GB2312" w:cs="仿宋_GB2312"/>
          <w:sz w:val="32"/>
          <w:szCs w:val="32"/>
        </w:rPr>
        <w:t>负责解释。</w:t>
      </w:r>
    </w:p>
    <w:p>
      <w:pPr>
        <w:widowControl/>
        <w:spacing w:line="600" w:lineRule="exact"/>
        <w:jc w:val="left"/>
        <w:rPr>
          <w:rFonts w:ascii="仿宋_GB2312" w:hAnsi="仿宋" w:eastAsia="仿宋_GB2312"/>
          <w:sz w:val="28"/>
          <w:szCs w:val="28"/>
        </w:rPr>
      </w:pPr>
    </w:p>
    <w:p>
      <w:pPr>
        <w:widowControl/>
        <w:spacing w:line="600" w:lineRule="exact"/>
        <w:jc w:val="left"/>
        <w:rPr>
          <w:rFonts w:ascii="仿宋_GB2312" w:hAnsi="仿宋" w:eastAsia="仿宋_GB2312"/>
          <w:sz w:val="28"/>
          <w:szCs w:val="28"/>
        </w:rPr>
      </w:pPr>
    </w:p>
    <w:p>
      <w:pPr>
        <w:widowControl/>
        <w:spacing w:line="600" w:lineRule="exact"/>
        <w:jc w:val="left"/>
        <w:rPr>
          <w:rFonts w:ascii="仿宋_GB2312" w:hAnsi="仿宋" w:eastAsia="仿宋_GB2312"/>
          <w:sz w:val="28"/>
          <w:szCs w:val="28"/>
        </w:rPr>
      </w:pPr>
    </w:p>
    <w:p>
      <w:pPr>
        <w:widowControl/>
        <w:spacing w:line="540" w:lineRule="exact"/>
        <w:jc w:val="left"/>
        <w:rPr>
          <w:rFonts w:ascii="仿宋_GB2312" w:hAnsi="仿宋" w:eastAsia="仿宋_GB2312"/>
          <w:sz w:val="28"/>
          <w:szCs w:val="28"/>
        </w:rPr>
      </w:pPr>
    </w:p>
    <w:p>
      <w:pPr>
        <w:widowControl/>
        <w:spacing w:line="540" w:lineRule="exact"/>
        <w:jc w:val="left"/>
        <w:rPr>
          <w:rFonts w:ascii="仿宋_GB2312" w:hAnsi="仿宋" w:eastAsia="仿宋_GB2312"/>
          <w:sz w:val="28"/>
          <w:szCs w:val="28"/>
        </w:rPr>
      </w:pPr>
    </w:p>
    <w:p>
      <w:pPr>
        <w:widowControl/>
        <w:jc w:val="left"/>
        <w:rPr>
          <w:rFonts w:ascii="黑体" w:hAnsi="黑体" w:eastAsia="黑体"/>
          <w:sz w:val="32"/>
          <w:szCs w:val="32"/>
        </w:rPr>
      </w:pPr>
      <w:r>
        <w:rPr>
          <w:rFonts w:hint="eastAsia" w:ascii="仿宋" w:hAnsi="仿宋" w:eastAsia="仿宋"/>
          <w:sz w:val="32"/>
          <w:szCs w:val="32"/>
        </w:rPr>
        <w:t>附件：</w:t>
      </w:r>
    </w:p>
    <w:p>
      <w:pPr>
        <w:widowControl/>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西北农林科技大学理学院</w:t>
      </w:r>
    </w:p>
    <w:p>
      <w:pPr>
        <w:widowControl/>
        <w:jc w:val="center"/>
        <w:rPr>
          <w:rFonts w:ascii="黑体" w:hAnsi="黑体" w:eastAsia="黑体" w:cs="Arial"/>
          <w:color w:val="000000"/>
          <w:kern w:val="0"/>
          <w:sz w:val="32"/>
          <w:szCs w:val="32"/>
        </w:rPr>
      </w:pPr>
      <w:r>
        <w:rPr>
          <w:rFonts w:hint="eastAsia" w:ascii="方正小标宋简体" w:hAnsi="方正小标宋简体" w:eastAsia="方正小标宋简体" w:cs="方正小标宋简体"/>
          <w:kern w:val="0"/>
          <w:sz w:val="44"/>
          <w:szCs w:val="44"/>
        </w:rPr>
        <w:t>研究生学业奖学金评定体系</w:t>
      </w:r>
      <w:r>
        <w:rPr>
          <w:rFonts w:hint="eastAsia" w:ascii="方正小标宋简体" w:hAnsi="方正小标宋简体" w:eastAsia="方正小标宋简体" w:cs="方正小标宋简体"/>
          <w:color w:val="000000"/>
          <w:kern w:val="0"/>
          <w:sz w:val="44"/>
          <w:szCs w:val="44"/>
        </w:rPr>
        <w:t>及评分标准</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研究生学业奖学金评定指标体系包括</w:t>
      </w:r>
      <w:r>
        <w:rPr>
          <w:rFonts w:hint="eastAsia" w:ascii="仿宋_GB2312" w:hAnsi="仿宋_GB2312" w:eastAsia="仿宋_GB2312" w:cs="仿宋_GB2312"/>
          <w:sz w:val="32"/>
          <w:szCs w:val="32"/>
        </w:rPr>
        <w:t>政治思想品德、课程成绩、科研成果、社会活动等四项内容。</w:t>
      </w:r>
    </w:p>
    <w:p>
      <w:pPr>
        <w:pStyle w:val="10"/>
        <w:numPr>
          <w:ilvl w:val="0"/>
          <w:numId w:val="1"/>
        </w:numPr>
        <w:spacing w:line="600" w:lineRule="exact"/>
        <w:ind w:firstLineChars="0"/>
        <w:rPr>
          <w:rFonts w:ascii="仿宋_GB2312" w:hAnsi="仿宋_GB2312" w:eastAsia="仿宋_GB2312" w:cs="仿宋_GB2312"/>
          <w:b/>
          <w:sz w:val="32"/>
          <w:szCs w:val="32"/>
        </w:rPr>
      </w:pPr>
      <w:r>
        <w:rPr>
          <w:rFonts w:hint="eastAsia" w:ascii="仿宋_GB2312" w:hAnsi="仿宋_GB2312" w:eastAsia="仿宋_GB2312" w:cs="仿宋_GB2312"/>
          <w:b/>
          <w:sz w:val="32"/>
          <w:szCs w:val="32"/>
        </w:rPr>
        <w:t>研究生学业奖学金评价内容和权重（保留两位小数）</w:t>
      </w:r>
    </w:p>
    <w:tbl>
      <w:tblPr>
        <w:tblStyle w:val="5"/>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18"/>
        <w:gridCol w:w="1800"/>
        <w:gridCol w:w="1290"/>
        <w:gridCol w:w="129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学生类型</w:t>
            </w:r>
          </w:p>
        </w:tc>
        <w:tc>
          <w:tcPr>
            <w:tcW w:w="1418"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学年</w:t>
            </w:r>
          </w:p>
        </w:tc>
        <w:tc>
          <w:tcPr>
            <w:tcW w:w="180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政治思想品德</w:t>
            </w:r>
          </w:p>
        </w:tc>
        <w:tc>
          <w:tcPr>
            <w:tcW w:w="129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课程成绩</w:t>
            </w:r>
          </w:p>
        </w:tc>
        <w:tc>
          <w:tcPr>
            <w:tcW w:w="129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科研成果</w:t>
            </w:r>
          </w:p>
        </w:tc>
        <w:tc>
          <w:tcPr>
            <w:tcW w:w="129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学科竞赛及社会活动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18" w:type="dxa"/>
            <w:vMerge w:val="restart"/>
            <w:shd w:val="clear" w:color="auto" w:fill="auto"/>
            <w:vAlign w:val="center"/>
          </w:tcPr>
          <w:p>
            <w:pPr>
              <w:jc w:val="center"/>
              <w:rPr>
                <w:rFonts w:hint="eastAsia" w:ascii="Cambria Math" w:hAnsi="Cambria Math" w:eastAsia="仿宋_GB2312" w:cs="仿宋_GB2312"/>
                <w:sz w:val="24"/>
                <w:szCs w:val="24"/>
                <w:oMath/>
              </w:rPr>
            </w:pPr>
            <m:oMathPara>
              <m:oMath>
                <m:r>
                  <m:rPr>
                    <m:sty m:val="p"/>
                  </m:rPr>
                  <w:rPr>
                    <w:rFonts w:hint="eastAsia" w:ascii="Cambria Math" w:hAnsi="Cambria Math" w:eastAsia="仿宋_GB2312" w:cs="仿宋_GB2312"/>
                    <w:sz w:val="24"/>
                    <w:szCs w:val="24"/>
                  </w:rPr>
                  <m:t>硕  士</m:t>
                </m:r>
              </m:oMath>
            </m:oMathPara>
          </w:p>
        </w:tc>
        <w:tc>
          <w:tcPr>
            <w:tcW w:w="1418" w:type="dxa"/>
            <w:shd w:val="clear" w:color="auto" w:fill="auto"/>
            <w:vAlign w:val="center"/>
          </w:tcPr>
          <w:p>
            <w:pPr>
              <w:jc w:val="center"/>
              <w:rPr>
                <w:rFonts w:hint="eastAsia" w:ascii="Cambria Math" w:hAnsi="Cambria Math" w:eastAsia="仿宋_GB2312" w:cs="仿宋_GB2312"/>
                <w:sz w:val="24"/>
                <w:szCs w:val="24"/>
                <w:oMath/>
              </w:rPr>
            </w:pPr>
            <m:oMath>
              <m:r>
                <m:rPr>
                  <m:sty m:val="p"/>
                </m:rPr>
                <w:rPr>
                  <w:rFonts w:hint="eastAsia" w:ascii="Cambria Math" w:hAnsi="Cambria Math" w:eastAsia="仿宋_GB2312" w:cs="仿宋_GB2312"/>
                  <w:sz w:val="24"/>
                  <w:szCs w:val="24"/>
                </w:rPr>
                <m:t>二</m:t>
              </m:r>
            </m:oMath>
            <w:r>
              <w:rPr>
                <w:rFonts w:hint="eastAsia" w:ascii="Cambria Math" w:hAnsi="Cambria Math" w:eastAsia="仿宋_GB2312" w:cs="仿宋_GB2312"/>
                <w:sz w:val="24"/>
                <w:szCs w:val="24"/>
              </w:rPr>
              <w:t>年级</w:t>
            </w:r>
          </w:p>
        </w:tc>
        <w:tc>
          <w:tcPr>
            <w:tcW w:w="1800" w:type="dxa"/>
            <w:vAlign w:val="center"/>
          </w:tcPr>
          <w:p>
            <w:pPr>
              <w:jc w:val="center"/>
              <w:rPr>
                <w:rFonts w:hint="eastAsia" w:ascii="Cambria Math" w:hAnsi="Cambria Math" w:eastAsia="仿宋_GB2312" w:cs="仿宋_GB2312"/>
                <w:sz w:val="24"/>
                <w:szCs w:val="24"/>
                <w:oMath/>
              </w:rPr>
            </w:pPr>
            <m:oMathPara>
              <m:oMath>
                <m:r>
                  <m:rPr>
                    <m:sty m:val="p"/>
                  </m:rPr>
                  <w:rPr>
                    <w:rFonts w:hint="eastAsia" w:ascii="Cambria Math" w:hAnsi="Cambria Math" w:eastAsia="仿宋_GB2312" w:cs="仿宋_GB2312"/>
                    <w:sz w:val="24"/>
                    <w:szCs w:val="24"/>
                  </w:rPr>
                  <m:t>10%</m:t>
                </m:r>
              </m:oMath>
            </m:oMathPara>
          </w:p>
        </w:tc>
        <w:tc>
          <w:tcPr>
            <w:tcW w:w="1290" w:type="dxa"/>
            <w:vAlign w:val="center"/>
          </w:tcPr>
          <w:p>
            <w:pPr>
              <w:jc w:val="center"/>
              <w:rPr>
                <w:rFonts w:hint="eastAsia" w:ascii="Cambria Math" w:hAnsi="Cambria Math" w:eastAsia="仿宋_GB2312" w:cs="仿宋_GB2312"/>
                <w:sz w:val="24"/>
                <w:szCs w:val="24"/>
                <w:oMath/>
              </w:rPr>
            </w:pPr>
            <m:oMathPara>
              <m:oMath>
                <m:r>
                  <m:rPr>
                    <m:sty m:val="p"/>
                  </m:rPr>
                  <w:rPr>
                    <w:rFonts w:hint="eastAsia" w:ascii="Cambria Math" w:hAnsi="Cambria Math" w:eastAsia="仿宋_GB2312" w:cs="仿宋_GB2312"/>
                    <w:sz w:val="24"/>
                    <w:szCs w:val="24"/>
                  </w:rPr>
                  <m:t>50%</m:t>
                </m:r>
              </m:oMath>
            </m:oMathPara>
          </w:p>
        </w:tc>
        <w:tc>
          <w:tcPr>
            <w:tcW w:w="1290" w:type="dxa"/>
            <w:vAlign w:val="center"/>
          </w:tcPr>
          <w:p>
            <w:pPr>
              <w:jc w:val="center"/>
              <w:rPr>
                <w:rFonts w:hint="eastAsia" w:ascii="Cambria Math" w:hAnsi="Cambria Math" w:eastAsia="仿宋_GB2312" w:cs="仿宋_GB2312"/>
                <w:color w:val="000000"/>
                <w:sz w:val="24"/>
                <w:szCs w:val="24"/>
                <w:oMath/>
              </w:rPr>
            </w:pPr>
            <m:oMathPara>
              <m:oMath>
                <m:r>
                  <m:rPr>
                    <m:sty m:val="p"/>
                  </m:rPr>
                  <w:rPr>
                    <w:rFonts w:hint="eastAsia" w:ascii="Cambria Math" w:hAnsi="Cambria Math" w:eastAsia="仿宋_GB2312" w:cs="仿宋_GB2312"/>
                    <w:color w:val="000000"/>
                    <w:sz w:val="24"/>
                    <w:szCs w:val="24"/>
                  </w:rPr>
                  <m:t>30%</m:t>
                </m:r>
              </m:oMath>
            </m:oMathPara>
          </w:p>
        </w:tc>
        <w:tc>
          <w:tcPr>
            <w:tcW w:w="1290" w:type="dxa"/>
            <w:vAlign w:val="center"/>
          </w:tcPr>
          <w:p>
            <w:pPr>
              <w:jc w:val="center"/>
              <w:rPr>
                <w:rFonts w:hint="eastAsia" w:ascii="Cambria Math" w:hAnsi="Cambria Math" w:eastAsia="仿宋_GB2312" w:cs="仿宋_GB2312"/>
                <w:sz w:val="24"/>
                <w:szCs w:val="24"/>
                <w:oMath/>
              </w:rPr>
            </w:pPr>
            <m:oMathPara>
              <m:oMath>
                <m:r>
                  <m:rPr>
                    <m:sty m:val="p"/>
                  </m:rPr>
                  <w:rPr>
                    <w:rFonts w:hint="eastAsia" w:ascii="Cambria Math" w:hAnsi="Cambria Math" w:eastAsia="仿宋_GB2312" w:cs="仿宋_GB2312"/>
                    <w:sz w:val="24"/>
                    <w:szCs w:val="24"/>
                  </w:rPr>
                  <m:t>10%</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vMerge w:val="continue"/>
            <w:shd w:val="clear" w:color="auto" w:fill="auto"/>
            <w:vAlign w:val="center"/>
          </w:tcPr>
          <w:p>
            <w:pPr>
              <w:jc w:val="center"/>
              <w:rPr>
                <w:rFonts w:ascii="仿宋_GB2312" w:hAnsi="仿宋_GB2312" w:eastAsia="仿宋_GB2312" w:cs="仿宋_GB2312"/>
                <w:sz w:val="24"/>
                <w:szCs w:val="24"/>
              </w:rPr>
            </w:pPr>
          </w:p>
        </w:tc>
        <w:tc>
          <w:tcPr>
            <w:tcW w:w="1418"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三年级</w:t>
            </w:r>
          </w:p>
        </w:tc>
        <w:tc>
          <w:tcPr>
            <w:tcW w:w="180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29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29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75%</w:t>
            </w:r>
          </w:p>
        </w:tc>
        <w:tc>
          <w:tcPr>
            <w:tcW w:w="129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vMerge w:val="restart"/>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博  士</w:t>
            </w:r>
          </w:p>
        </w:tc>
        <w:tc>
          <w:tcPr>
            <w:tcW w:w="1418" w:type="dxa"/>
            <w:shd w:val="clear" w:color="auto" w:fill="auto"/>
            <w:vAlign w:val="center"/>
          </w:tcPr>
          <w:p>
            <w:pPr>
              <w:jc w:val="center"/>
              <w:rPr>
                <w:rFonts w:ascii="仿宋_GB2312" w:hAnsi="仿宋_GB2312" w:eastAsia="仿宋_GB2312" w:cs="仿宋_GB2312"/>
                <w:sz w:val="24"/>
                <w:szCs w:val="24"/>
              </w:rPr>
            </w:pPr>
            <m:oMath>
              <m:r>
                <m:rPr>
                  <m:sty m:val="p"/>
                </m:rPr>
                <w:rPr>
                  <w:rFonts w:hint="eastAsia" w:ascii="Cambria Math" w:hAnsi="Cambria Math" w:eastAsia="仿宋_GB2312" w:cs="仿宋_GB2312"/>
                  <w:sz w:val="24"/>
                  <w:szCs w:val="24"/>
                </w:rPr>
                <m:t>二</m:t>
              </m:r>
            </m:oMath>
            <w:r>
              <w:rPr>
                <w:rFonts w:hint="eastAsia" w:ascii="Cambria Math" w:hAnsi="Cambria Math" w:eastAsia="仿宋_GB2312" w:cs="仿宋_GB2312"/>
                <w:sz w:val="24"/>
                <w:szCs w:val="24"/>
              </w:rPr>
              <w:t>年级</w:t>
            </w:r>
          </w:p>
        </w:tc>
        <w:tc>
          <w:tcPr>
            <w:tcW w:w="180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29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29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70%</w:t>
            </w:r>
          </w:p>
        </w:tc>
        <w:tc>
          <w:tcPr>
            <w:tcW w:w="129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vMerge w:val="continue"/>
            <w:shd w:val="clear" w:color="auto" w:fill="auto"/>
            <w:vAlign w:val="center"/>
          </w:tcPr>
          <w:p>
            <w:pPr>
              <w:jc w:val="center"/>
              <w:rPr>
                <w:rFonts w:ascii="仿宋_GB2312" w:hAnsi="仿宋_GB2312" w:eastAsia="仿宋_GB2312" w:cs="仿宋_GB2312"/>
                <w:sz w:val="24"/>
                <w:szCs w:val="24"/>
              </w:rPr>
            </w:pPr>
          </w:p>
        </w:tc>
        <w:tc>
          <w:tcPr>
            <w:tcW w:w="1418"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三年级</w:t>
            </w:r>
          </w:p>
        </w:tc>
        <w:tc>
          <w:tcPr>
            <w:tcW w:w="180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29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29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85%</w:t>
            </w:r>
          </w:p>
        </w:tc>
        <w:tc>
          <w:tcPr>
            <w:tcW w:w="129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vMerge w:val="continue"/>
            <w:shd w:val="clear" w:color="auto" w:fill="auto"/>
            <w:vAlign w:val="center"/>
          </w:tcPr>
          <w:p>
            <w:pPr>
              <w:jc w:val="center"/>
              <w:rPr>
                <w:rFonts w:ascii="仿宋_GB2312" w:hAnsi="仿宋_GB2312" w:eastAsia="仿宋_GB2312" w:cs="仿宋_GB2312"/>
                <w:sz w:val="24"/>
                <w:szCs w:val="24"/>
              </w:rPr>
            </w:pPr>
          </w:p>
        </w:tc>
        <w:tc>
          <w:tcPr>
            <w:tcW w:w="1418"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四年级</w:t>
            </w:r>
          </w:p>
        </w:tc>
        <w:tc>
          <w:tcPr>
            <w:tcW w:w="180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29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29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85%</w:t>
            </w:r>
          </w:p>
        </w:tc>
        <w:tc>
          <w:tcPr>
            <w:tcW w:w="129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r>
    </w:tbl>
    <w:p>
      <w:pPr>
        <w:spacing w:line="600" w:lineRule="exact"/>
        <w:ind w:firstLine="420" w:firstLineChars="200"/>
        <w:jc w:val="left"/>
        <w:rPr>
          <w:rFonts w:ascii="仿宋_GB2312" w:hAnsi="仿宋_GB2312" w:eastAsia="仿宋_GB2312" w:cs="仿宋_GB2312"/>
          <w:bCs/>
          <w:color w:val="000000" w:themeColor="text1"/>
          <w:szCs w:val="21"/>
        </w:rPr>
      </w:pPr>
      <w:r>
        <w:rPr>
          <w:rFonts w:hint="eastAsia" w:ascii="仿宋_GB2312" w:hAnsi="仿宋_GB2312" w:eastAsia="仿宋_GB2312" w:cs="仿宋_GB2312"/>
          <w:bCs/>
          <w:color w:val="000000" w:themeColor="text1"/>
          <w:szCs w:val="21"/>
        </w:rPr>
        <w:t>注：1、</w:t>
      </w:r>
      <m:oMath>
        <m:r>
          <m:rPr>
            <m:sty m:val="p"/>
          </m:rPr>
          <w:rPr>
            <w:rFonts w:hint="eastAsia" w:ascii="Cambria Math" w:hAnsi="Cambria Math" w:eastAsia="仿宋_GB2312" w:cs="仿宋_GB2312"/>
            <w:color w:val="000000" w:themeColor="text1"/>
            <w:szCs w:val="21"/>
          </w:rPr>
          <m:t>总分=政治思想品德（分值）∗权重+课程成绩（分值）∗权重+科研成果（分值）∗权重+文体活动（分值）∗权重</m:t>
        </m:r>
      </m:oMath>
    </w:p>
    <w:p>
      <w:pPr>
        <w:spacing w:line="600" w:lineRule="exact"/>
        <w:ind w:firstLine="840" w:firstLineChars="400"/>
        <w:jc w:val="left"/>
        <w:rPr>
          <w:rFonts w:hint="eastAsia" w:ascii="Cambria Math" w:hAnsi="Cambria Math" w:eastAsia="仿宋_GB2312"/>
          <w:b/>
          <w:color w:val="000000" w:themeColor="text1"/>
          <w:sz w:val="24"/>
          <w:szCs w:val="24"/>
        </w:rPr>
      </w:pPr>
      <w:r>
        <w:rPr>
          <w:rFonts w:hint="eastAsia" w:ascii="仿宋_GB2312" w:hAnsi="仿宋_GB2312" w:eastAsia="仿宋_GB2312" w:cs="仿宋_GB2312"/>
          <w:bCs/>
          <w:color w:val="000000" w:themeColor="text1"/>
          <w:szCs w:val="21"/>
        </w:rPr>
        <w:t>2、</w:t>
      </w:r>
      <w:r>
        <w:rPr>
          <w:rFonts w:hint="eastAsia" w:ascii="仿宋_GB2312" w:hAnsi="仿宋_GB2312" w:eastAsia="仿宋_GB2312" w:cs="仿宋_GB2312"/>
          <w:szCs w:val="21"/>
        </w:rPr>
        <w:t>博士生四年级是否参评，按照基本学习年限标准执行。</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二、政治思想品德（满分100分）</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由研究生导师根据学生热爱社会主义祖国、拥护中国共产党的领导，遵守宪法和法律，遵守学校规章制度，诚实守信、尊师爱校、团结同学，遵守实验室管理制度，按时完成导师交办的任务，具有严谨的科研态度和良好的学术道德，具有良好的团队合作精神等方面评定，学院党委予以审核认定。</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三、课程成绩（满分100分）</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课程成绩采用研究生培养方案中规定的</w:t>
      </w:r>
      <w:r>
        <w:rPr>
          <w:rFonts w:hint="eastAsia" w:ascii="仿宋_GB2312" w:hAnsi="仿宋" w:eastAsia="仿宋_GB2312"/>
          <w:color w:val="000000" w:themeColor="text1"/>
          <w:sz w:val="32"/>
          <w:szCs w:val="32"/>
        </w:rPr>
        <w:t>学位课加权平均分。</w:t>
      </w:r>
      <w:r>
        <w:rPr>
          <w:rFonts w:hint="eastAsia" w:ascii="仿宋_GB2312" w:hAnsi="仿宋" w:eastAsia="仿宋_GB2312"/>
          <w:sz w:val="32"/>
          <w:szCs w:val="32"/>
        </w:rPr>
        <w:t xml:space="preserve">其中学位课课程因事（病）缓考，正常办理缓考手续的，可去除该课程计算学位课加权平均分。 </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四、科研成果（满分100分）</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科研成果考核包括发表的学术论文、授权专利发明、科研获奖等内容。</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科研成果得分=学术论文得分+授权专利发明得分+科研获奖得分</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1．学术论文计分</w:t>
      </w:r>
    </w:p>
    <w:tbl>
      <w:tblPr>
        <w:tblStyle w:val="5"/>
        <w:tblW w:w="88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80"/>
        <w:gridCol w:w="1867"/>
        <w:gridCol w:w="2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80" w:type="dxa"/>
            <w:shd w:val="clear" w:color="auto" w:fill="auto"/>
            <w:vAlign w:val="center"/>
          </w:tcPr>
          <w:p>
            <w:pPr>
              <w:widowControl/>
              <w:adjustRightInd w:val="0"/>
              <w:snapToGrid w:val="0"/>
              <w:spacing w:line="400" w:lineRule="exact"/>
              <w:contextualSpacing/>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发表论文</w:t>
            </w:r>
          </w:p>
        </w:tc>
        <w:tc>
          <w:tcPr>
            <w:tcW w:w="1867" w:type="dxa"/>
            <w:shd w:val="clear" w:color="auto" w:fill="auto"/>
            <w:vAlign w:val="center"/>
          </w:tcPr>
          <w:p>
            <w:pPr>
              <w:widowControl/>
              <w:adjustRightInd w:val="0"/>
              <w:snapToGrid w:val="0"/>
              <w:spacing w:line="400" w:lineRule="exact"/>
              <w:contextualSpacing/>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计分</w:t>
            </w:r>
          </w:p>
        </w:tc>
        <w:tc>
          <w:tcPr>
            <w:tcW w:w="2684" w:type="dxa"/>
            <w:shd w:val="clear" w:color="auto" w:fill="auto"/>
            <w:vAlign w:val="center"/>
          </w:tcPr>
          <w:p>
            <w:pPr>
              <w:widowControl/>
              <w:adjustRightInd w:val="0"/>
              <w:snapToGrid w:val="0"/>
              <w:spacing w:line="400" w:lineRule="exact"/>
              <w:contextualSpacing/>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4280" w:type="dxa"/>
            <w:shd w:val="clear" w:color="auto" w:fill="auto"/>
            <w:vAlign w:val="center"/>
          </w:tcPr>
          <w:p>
            <w:pPr>
              <w:widowControl/>
              <w:adjustRightInd w:val="0"/>
              <w:snapToGrid w:val="0"/>
              <w:spacing w:line="40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SCI收录研究论文（JCR—Q1）</w:t>
            </w:r>
          </w:p>
        </w:tc>
        <w:tc>
          <w:tcPr>
            <w:tcW w:w="1867" w:type="dxa"/>
            <w:shd w:val="clear" w:color="auto" w:fill="auto"/>
            <w:vAlign w:val="center"/>
          </w:tcPr>
          <w:p>
            <w:pPr>
              <w:widowControl/>
              <w:adjustRightInd w:val="0"/>
              <w:snapToGrid w:val="0"/>
              <w:spacing w:line="40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 + IF×5</w:t>
            </w:r>
          </w:p>
        </w:tc>
        <w:tc>
          <w:tcPr>
            <w:tcW w:w="2684" w:type="dxa"/>
            <w:vMerge w:val="restart"/>
            <w:shd w:val="clear" w:color="auto" w:fill="auto"/>
            <w:vAlign w:val="center"/>
          </w:tcPr>
          <w:p>
            <w:pPr>
              <w:widowControl/>
              <w:adjustRightInd w:val="0"/>
              <w:snapToGrid w:val="0"/>
              <w:spacing w:line="400" w:lineRule="exact"/>
              <w:contextualSpacing/>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1.本人为第一作者、导师为通讯作者、西北农林科技大学为第一署名单位；</w:t>
            </w:r>
          </w:p>
          <w:p>
            <w:pPr>
              <w:widowControl/>
              <w:adjustRightInd w:val="0"/>
              <w:snapToGrid w:val="0"/>
              <w:spacing w:line="400" w:lineRule="exact"/>
              <w:contextualSpacing/>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2.共同第一作者，排序第一作者申请有效；</w:t>
            </w:r>
          </w:p>
          <w:p>
            <w:pPr>
              <w:pStyle w:val="16"/>
              <w:spacing w:line="276" w:lineRule="auto"/>
              <w:jc w:val="both"/>
              <w:rPr>
                <w:rFonts w:ascii="仿宋_GB2312" w:hAnsi="仿宋_GB2312" w:eastAsia="仿宋_GB2312" w:cs="仿宋_GB2312"/>
                <w:color w:val="000000" w:themeColor="text1"/>
                <w:kern w:val="2"/>
                <w:shd w:val="clear" w:color="auto" w:fill="FFFFFF"/>
              </w:rPr>
            </w:pPr>
            <w:r>
              <w:rPr>
                <w:rFonts w:ascii="仿宋_GB2312" w:hAnsi="仿宋_GB2312" w:eastAsia="仿宋_GB2312" w:cs="仿宋_GB2312"/>
                <w:color w:val="000000" w:themeColor="text1"/>
                <w:kern w:val="2"/>
                <w:shd w:val="clear" w:color="auto" w:fill="FFFFFF"/>
              </w:rPr>
              <w:t>3.普通英文期刊按照中文核心期刊认定加分</w:t>
            </w:r>
            <w:r>
              <w:rPr>
                <w:rFonts w:hint="eastAsia" w:ascii="仿宋_GB2312" w:hAnsi="仿宋_GB2312" w:eastAsia="仿宋_GB2312" w:cs="仿宋_GB2312"/>
                <w:color w:val="000000" w:themeColor="text1"/>
                <w:kern w:val="2"/>
                <w:shd w:val="clear" w:color="auto" w:fill="FFFFFF"/>
              </w:rPr>
              <w:t>。</w:t>
            </w:r>
          </w:p>
          <w:p>
            <w:pPr>
              <w:widowControl/>
              <w:adjustRightInd w:val="0"/>
              <w:snapToGrid w:val="0"/>
              <w:spacing w:line="400" w:lineRule="exact"/>
              <w:contextualSpacing/>
              <w:rPr>
                <w:rFonts w:ascii="仿宋_GB2312" w:hAnsi="仿宋_GB2312" w:eastAsia="仿宋_GB2312" w:cs="仿宋_GB2312"/>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4280" w:type="dxa"/>
            <w:shd w:val="clear" w:color="auto" w:fill="auto"/>
            <w:vAlign w:val="center"/>
          </w:tcPr>
          <w:p>
            <w:pPr>
              <w:widowControl/>
              <w:adjustRightInd w:val="0"/>
              <w:snapToGrid w:val="0"/>
              <w:spacing w:line="40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SCI收录研究论文（JCR—Q2）</w:t>
            </w:r>
          </w:p>
        </w:tc>
        <w:tc>
          <w:tcPr>
            <w:tcW w:w="1867" w:type="dxa"/>
            <w:shd w:val="clear" w:color="auto" w:fill="auto"/>
            <w:vAlign w:val="center"/>
          </w:tcPr>
          <w:p>
            <w:pPr>
              <w:widowControl/>
              <w:adjustRightInd w:val="0"/>
              <w:snapToGrid w:val="0"/>
              <w:spacing w:line="40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 + IF×5</w:t>
            </w:r>
          </w:p>
        </w:tc>
        <w:tc>
          <w:tcPr>
            <w:tcW w:w="2684" w:type="dxa"/>
            <w:vMerge w:val="continue"/>
            <w:shd w:val="clear" w:color="auto" w:fill="auto"/>
            <w:vAlign w:val="center"/>
          </w:tcPr>
          <w:p>
            <w:pPr>
              <w:widowControl/>
              <w:adjustRightInd w:val="0"/>
              <w:snapToGrid w:val="0"/>
              <w:spacing w:line="400" w:lineRule="exact"/>
              <w:ind w:firstLine="480" w:firstLineChars="200"/>
              <w:contextualSpacing/>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4280" w:type="dxa"/>
            <w:shd w:val="clear" w:color="auto" w:fill="auto"/>
            <w:vAlign w:val="center"/>
          </w:tcPr>
          <w:p>
            <w:pPr>
              <w:widowControl/>
              <w:adjustRightInd w:val="0"/>
              <w:snapToGrid w:val="0"/>
              <w:spacing w:line="40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SCI收录研究论文（JCR—Q3）</w:t>
            </w:r>
          </w:p>
        </w:tc>
        <w:tc>
          <w:tcPr>
            <w:tcW w:w="1867" w:type="dxa"/>
            <w:shd w:val="clear" w:color="auto" w:fill="auto"/>
            <w:vAlign w:val="center"/>
          </w:tcPr>
          <w:p>
            <w:pPr>
              <w:widowControl/>
              <w:adjustRightInd w:val="0"/>
              <w:snapToGrid w:val="0"/>
              <w:spacing w:line="40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 + IF</w:t>
            </w:r>
          </w:p>
        </w:tc>
        <w:tc>
          <w:tcPr>
            <w:tcW w:w="2684" w:type="dxa"/>
            <w:vMerge w:val="continue"/>
            <w:shd w:val="clear" w:color="auto" w:fill="auto"/>
            <w:vAlign w:val="center"/>
          </w:tcPr>
          <w:p>
            <w:pPr>
              <w:widowControl/>
              <w:adjustRightInd w:val="0"/>
              <w:snapToGrid w:val="0"/>
              <w:spacing w:line="400" w:lineRule="exact"/>
              <w:ind w:firstLine="480" w:firstLineChars="200"/>
              <w:contextualSpacing/>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4280" w:type="dxa"/>
            <w:shd w:val="clear" w:color="auto" w:fill="auto"/>
            <w:vAlign w:val="center"/>
          </w:tcPr>
          <w:p>
            <w:pPr>
              <w:widowControl/>
              <w:adjustRightInd w:val="0"/>
              <w:snapToGrid w:val="0"/>
              <w:spacing w:line="40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SCI收录研究论文（JCR—Q4）</w:t>
            </w:r>
          </w:p>
        </w:tc>
        <w:tc>
          <w:tcPr>
            <w:tcW w:w="1867" w:type="dxa"/>
            <w:shd w:val="clear" w:color="auto" w:fill="auto"/>
            <w:vAlign w:val="center"/>
          </w:tcPr>
          <w:p>
            <w:pPr>
              <w:widowControl/>
              <w:adjustRightInd w:val="0"/>
              <w:snapToGrid w:val="0"/>
              <w:spacing w:line="40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 + IF</w:t>
            </w:r>
          </w:p>
        </w:tc>
        <w:tc>
          <w:tcPr>
            <w:tcW w:w="2684" w:type="dxa"/>
            <w:vMerge w:val="continue"/>
            <w:shd w:val="clear" w:color="auto" w:fill="auto"/>
            <w:vAlign w:val="center"/>
          </w:tcPr>
          <w:p>
            <w:pPr>
              <w:widowControl/>
              <w:adjustRightInd w:val="0"/>
              <w:snapToGrid w:val="0"/>
              <w:spacing w:line="400" w:lineRule="exact"/>
              <w:ind w:firstLine="480" w:firstLineChars="200"/>
              <w:contextualSpacing/>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4280" w:type="dxa"/>
            <w:shd w:val="clear" w:color="auto" w:fill="auto"/>
            <w:vAlign w:val="center"/>
          </w:tcPr>
          <w:p>
            <w:pPr>
              <w:widowControl/>
              <w:adjustRightInd w:val="0"/>
              <w:snapToGrid w:val="0"/>
              <w:spacing w:line="40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EI全文收录研究论文</w:t>
            </w:r>
          </w:p>
        </w:tc>
        <w:tc>
          <w:tcPr>
            <w:tcW w:w="1867" w:type="dxa"/>
            <w:shd w:val="clear" w:color="auto" w:fill="auto"/>
            <w:vAlign w:val="center"/>
          </w:tcPr>
          <w:p>
            <w:pPr>
              <w:widowControl/>
              <w:adjustRightInd w:val="0"/>
              <w:snapToGrid w:val="0"/>
              <w:spacing w:line="40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684" w:type="dxa"/>
            <w:vMerge w:val="continue"/>
            <w:shd w:val="clear" w:color="auto" w:fill="auto"/>
            <w:vAlign w:val="center"/>
          </w:tcPr>
          <w:p>
            <w:pPr>
              <w:widowControl/>
              <w:adjustRightInd w:val="0"/>
              <w:snapToGrid w:val="0"/>
              <w:spacing w:line="400" w:lineRule="exact"/>
              <w:ind w:firstLine="480" w:firstLineChars="200"/>
              <w:contextualSpacing/>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4280" w:type="dxa"/>
            <w:shd w:val="clear" w:color="auto" w:fill="auto"/>
            <w:vAlign w:val="center"/>
          </w:tcPr>
          <w:p>
            <w:pPr>
              <w:widowControl/>
              <w:adjustRightInd w:val="0"/>
              <w:snapToGrid w:val="0"/>
              <w:spacing w:line="40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学校认定的国内A类学术期刊研究论文</w:t>
            </w:r>
          </w:p>
        </w:tc>
        <w:tc>
          <w:tcPr>
            <w:tcW w:w="1867" w:type="dxa"/>
            <w:shd w:val="clear" w:color="auto" w:fill="auto"/>
            <w:vAlign w:val="center"/>
          </w:tcPr>
          <w:p>
            <w:pPr>
              <w:widowControl/>
              <w:adjustRightInd w:val="0"/>
              <w:snapToGrid w:val="0"/>
              <w:spacing w:line="40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684" w:type="dxa"/>
            <w:vMerge w:val="continue"/>
            <w:shd w:val="clear" w:color="auto" w:fill="auto"/>
            <w:vAlign w:val="center"/>
          </w:tcPr>
          <w:p>
            <w:pPr>
              <w:widowControl/>
              <w:adjustRightInd w:val="0"/>
              <w:snapToGrid w:val="0"/>
              <w:spacing w:line="400" w:lineRule="exact"/>
              <w:ind w:firstLine="480" w:firstLineChars="200"/>
              <w:contextualSpacing/>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4280" w:type="dxa"/>
            <w:shd w:val="clear" w:color="auto" w:fill="auto"/>
            <w:vAlign w:val="center"/>
          </w:tcPr>
          <w:p>
            <w:pPr>
              <w:widowControl/>
              <w:adjustRightInd w:val="0"/>
              <w:snapToGrid w:val="0"/>
              <w:spacing w:line="40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学校认定的国内B类学术期刊研究论文</w:t>
            </w:r>
          </w:p>
        </w:tc>
        <w:tc>
          <w:tcPr>
            <w:tcW w:w="1867" w:type="dxa"/>
            <w:shd w:val="clear" w:color="auto" w:fill="auto"/>
            <w:vAlign w:val="center"/>
          </w:tcPr>
          <w:p>
            <w:pPr>
              <w:widowControl/>
              <w:adjustRightInd w:val="0"/>
              <w:snapToGrid w:val="0"/>
              <w:spacing w:line="40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684" w:type="dxa"/>
            <w:vMerge w:val="continue"/>
            <w:shd w:val="clear" w:color="auto" w:fill="auto"/>
            <w:vAlign w:val="center"/>
          </w:tcPr>
          <w:p>
            <w:pPr>
              <w:widowControl/>
              <w:adjustRightInd w:val="0"/>
              <w:snapToGrid w:val="0"/>
              <w:spacing w:line="400" w:lineRule="exact"/>
              <w:ind w:firstLine="480" w:firstLineChars="200"/>
              <w:contextualSpacing/>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jc w:val="center"/>
        </w:trPr>
        <w:tc>
          <w:tcPr>
            <w:tcW w:w="4280" w:type="dxa"/>
            <w:shd w:val="clear" w:color="auto" w:fill="auto"/>
            <w:vAlign w:val="center"/>
          </w:tcPr>
          <w:p>
            <w:pPr>
              <w:widowControl/>
              <w:adjustRightInd w:val="0"/>
              <w:snapToGrid w:val="0"/>
              <w:spacing w:line="40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学校认定的中文核心期刊研究论文（仅限硕士）</w:t>
            </w:r>
          </w:p>
        </w:tc>
        <w:tc>
          <w:tcPr>
            <w:tcW w:w="1867" w:type="dxa"/>
            <w:shd w:val="clear" w:color="auto" w:fill="auto"/>
            <w:vAlign w:val="center"/>
          </w:tcPr>
          <w:p>
            <w:pPr>
              <w:widowControl/>
              <w:adjustRightInd w:val="0"/>
              <w:snapToGrid w:val="0"/>
              <w:spacing w:line="40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684" w:type="dxa"/>
            <w:vMerge w:val="continue"/>
            <w:shd w:val="clear" w:color="auto" w:fill="auto"/>
            <w:vAlign w:val="center"/>
          </w:tcPr>
          <w:p>
            <w:pPr>
              <w:widowControl/>
              <w:adjustRightInd w:val="0"/>
              <w:snapToGrid w:val="0"/>
              <w:spacing w:line="400" w:lineRule="exact"/>
              <w:ind w:firstLine="480" w:firstLineChars="200"/>
              <w:contextualSpacing/>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6" w:hRule="atLeast"/>
          <w:jc w:val="center"/>
        </w:trPr>
        <w:tc>
          <w:tcPr>
            <w:tcW w:w="4280" w:type="dxa"/>
            <w:shd w:val="clear" w:color="auto" w:fill="auto"/>
            <w:vAlign w:val="center"/>
          </w:tcPr>
          <w:p>
            <w:pPr>
              <w:widowControl/>
              <w:adjustRightInd w:val="0"/>
              <w:snapToGrid w:val="0"/>
              <w:spacing w:line="400" w:lineRule="exact"/>
              <w:contextualSpacing/>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授权发明专利</w:t>
            </w:r>
          </w:p>
        </w:tc>
        <w:tc>
          <w:tcPr>
            <w:tcW w:w="1867" w:type="dxa"/>
            <w:shd w:val="clear" w:color="auto" w:fill="auto"/>
            <w:vAlign w:val="center"/>
          </w:tcPr>
          <w:p>
            <w:pPr>
              <w:widowControl/>
              <w:adjustRightInd w:val="0"/>
              <w:snapToGrid w:val="0"/>
              <w:spacing w:line="40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684" w:type="dxa"/>
            <w:shd w:val="clear" w:color="auto" w:fill="auto"/>
            <w:vAlign w:val="center"/>
          </w:tcPr>
          <w:p>
            <w:pPr>
              <w:widowControl/>
              <w:adjustRightInd w:val="0"/>
              <w:snapToGrid w:val="0"/>
              <w:spacing w:line="40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授权国家发明专利第一名或导师第一、本人第二名</w:t>
            </w:r>
          </w:p>
        </w:tc>
      </w:tr>
    </w:tbl>
    <w:p>
      <w:pPr>
        <w:spacing w:line="440" w:lineRule="exact"/>
        <w:ind w:firstLine="482" w:firstLineChars="200"/>
        <w:rPr>
          <w:rFonts w:ascii="宋体" w:hAnsi="宋体"/>
          <w:b/>
          <w:color w:val="000000"/>
          <w:kern w:val="0"/>
          <w:sz w:val="24"/>
        </w:rPr>
      </w:pPr>
      <w:r>
        <w:rPr>
          <w:rFonts w:hint="eastAsia" w:ascii="仿宋_GB2312" w:hAnsi="仿宋_GB2312" w:eastAsia="仿宋_GB2312" w:cs="仿宋_GB2312"/>
          <w:b/>
          <w:color w:val="000000"/>
          <w:kern w:val="0"/>
          <w:sz w:val="24"/>
        </w:rPr>
        <w:t>注： SCI分区依据国际JCR分区认定，分类就高不就低。</w:t>
      </w:r>
    </w:p>
    <w:p>
      <w:pPr>
        <w:spacing w:line="600" w:lineRule="exact"/>
        <w:rPr>
          <w:rFonts w:ascii="仿宋_GB2312" w:hAnsi="仿宋" w:eastAsia="仿宋_GB2312"/>
          <w:sz w:val="28"/>
          <w:szCs w:val="28"/>
        </w:rPr>
      </w:pPr>
      <w:r>
        <w:rPr>
          <w:rFonts w:hint="eastAsia" w:ascii="仿宋_GB2312" w:hAnsi="仿宋" w:eastAsia="仿宋_GB2312"/>
          <w:sz w:val="28"/>
          <w:szCs w:val="28"/>
        </w:rPr>
        <w:t>有关说明：</w:t>
      </w:r>
    </w:p>
    <w:p>
      <w:pPr>
        <w:spacing w:line="600" w:lineRule="exact"/>
        <w:ind w:firstLine="560" w:firstLineChars="200"/>
        <w:rPr>
          <w:rFonts w:ascii="仿宋_GB2312" w:hAnsi="仿宋" w:eastAsia="仿宋_GB2312"/>
          <w:sz w:val="28"/>
          <w:szCs w:val="28"/>
        </w:rPr>
      </w:pPr>
      <w:r>
        <w:rPr>
          <w:rFonts w:hint="eastAsia" w:ascii="仿宋_GB2312" w:hAnsi="仿宋" w:eastAsia="仿宋_GB2312"/>
          <w:color w:val="000000"/>
          <w:sz w:val="28"/>
          <w:szCs w:val="28"/>
          <w:shd w:val="clear" w:color="auto" w:fill="FFFFFF"/>
        </w:rPr>
        <w:t>（1）所提交的科研成果应为硕士、博士在学期间</w:t>
      </w:r>
      <w:r>
        <w:rPr>
          <w:rFonts w:hint="eastAsia" w:ascii="仿宋_GB2312" w:hAnsi="仿宋" w:eastAsia="仿宋_GB2312"/>
          <w:b/>
          <w:color w:val="000000"/>
          <w:sz w:val="28"/>
          <w:szCs w:val="28"/>
        </w:rPr>
        <w:t>（截止奖学金提交材料日）</w:t>
      </w:r>
      <w:r>
        <w:rPr>
          <w:rFonts w:hint="eastAsia" w:ascii="仿宋_GB2312" w:hAnsi="仿宋" w:eastAsia="仿宋_GB2312"/>
          <w:color w:val="000000"/>
          <w:sz w:val="28"/>
          <w:szCs w:val="28"/>
          <w:shd w:val="clear" w:color="auto" w:fill="FFFFFF"/>
        </w:rPr>
        <w:t>发表且属于本专业学科领域；在整个研究生学业奖学金评定过程中仅可使用一次。</w:t>
      </w:r>
    </w:p>
    <w:p>
      <w:pPr>
        <w:spacing w:line="60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（2）学术研究论文须</w:t>
      </w:r>
      <w:r>
        <w:rPr>
          <w:rFonts w:hint="eastAsia" w:ascii="仿宋_GB2312" w:hAnsi="仿宋" w:eastAsia="仿宋_GB2312"/>
          <w:color w:val="000000"/>
          <w:sz w:val="28"/>
          <w:szCs w:val="28"/>
          <w:shd w:val="clear" w:color="auto" w:fill="FFFFFF"/>
        </w:rPr>
        <w:t>在</w:t>
      </w:r>
      <w:r>
        <w:rPr>
          <w:rFonts w:hint="eastAsia" w:ascii="仿宋_GB2312" w:hAnsi="仿宋" w:eastAsia="仿宋_GB2312"/>
          <w:sz w:val="28"/>
          <w:szCs w:val="28"/>
        </w:rPr>
        <w:t>具有正式出版号的公开发行刊物</w:t>
      </w:r>
      <w:r>
        <w:rPr>
          <w:rFonts w:hint="eastAsia" w:ascii="仿宋_GB2312" w:hAnsi="仿宋" w:eastAsia="仿宋_GB2312"/>
          <w:color w:val="000000"/>
          <w:sz w:val="28"/>
          <w:szCs w:val="28"/>
          <w:shd w:val="clear" w:color="auto" w:fill="FFFFFF"/>
        </w:rPr>
        <w:t>公开发表</w:t>
      </w:r>
      <w:r>
        <w:rPr>
          <w:rFonts w:hint="eastAsia" w:ascii="仿宋_GB2312" w:hAnsi="仿宋" w:eastAsia="仿宋_GB2312"/>
          <w:b/>
          <w:color w:val="000000"/>
          <w:sz w:val="28"/>
          <w:szCs w:val="28"/>
        </w:rPr>
        <w:t>（见刊或提供DOI号）</w:t>
      </w:r>
      <w:r>
        <w:rPr>
          <w:rFonts w:hint="eastAsia" w:ascii="仿宋_GB2312" w:hAnsi="仿宋" w:eastAsia="仿宋_GB2312"/>
          <w:color w:val="000000"/>
          <w:sz w:val="28"/>
          <w:szCs w:val="28"/>
        </w:rPr>
        <w:t>，</w:t>
      </w:r>
      <w:r>
        <w:rPr>
          <w:rFonts w:hint="eastAsia" w:ascii="仿宋_GB2312" w:hAnsi="仿宋" w:eastAsia="仿宋_GB2312"/>
          <w:sz w:val="28"/>
          <w:szCs w:val="28"/>
        </w:rPr>
        <w:t>但不包括会议文集中的论文摘要和学术期刊中的插页短文、短评或报道、会议论文等。</w:t>
      </w:r>
    </w:p>
    <w:p>
      <w:pPr>
        <w:spacing w:line="600" w:lineRule="exact"/>
        <w:ind w:firstLine="560" w:firstLineChars="200"/>
        <w:jc w:val="left"/>
        <w:rPr>
          <w:rFonts w:ascii="仿宋_GB2312" w:hAnsi="仿宋" w:eastAsia="仿宋_GB2312"/>
          <w:sz w:val="28"/>
          <w:szCs w:val="28"/>
        </w:rPr>
      </w:pPr>
      <w:r>
        <w:rPr>
          <w:rFonts w:hint="eastAsia" w:ascii="仿宋_GB2312" w:hAnsi="仿宋" w:eastAsia="仿宋_GB2312"/>
          <w:color w:val="000000"/>
          <w:sz w:val="28"/>
          <w:szCs w:val="28"/>
          <w:shd w:val="clear" w:color="auto" w:fill="FFFFFF"/>
        </w:rPr>
        <w:t>（3）本人须为第一作者、导师为通讯作者、西北农林科技大学为第一署名单位；共同第一作者，排序第一作者申请有效</w:t>
      </w:r>
      <w:r>
        <w:rPr>
          <w:rFonts w:hint="eastAsia" w:ascii="仿宋_GB2312" w:hAnsi="仿宋" w:eastAsia="仿宋_GB2312"/>
          <w:sz w:val="28"/>
          <w:szCs w:val="28"/>
        </w:rPr>
        <w:t>。</w:t>
      </w:r>
    </w:p>
    <w:p>
      <w:pPr>
        <w:spacing w:line="600" w:lineRule="exact"/>
        <w:ind w:firstLine="560" w:firstLineChars="200"/>
        <w:jc w:val="left"/>
        <w:rPr>
          <w:rFonts w:ascii="仿宋_GB2312" w:hAnsi="仿宋" w:eastAsia="仿宋_GB2312"/>
          <w:b/>
          <w:color w:val="FF0000"/>
          <w:sz w:val="28"/>
          <w:szCs w:val="28"/>
        </w:rPr>
      </w:pPr>
      <w:r>
        <w:rPr>
          <w:rFonts w:hint="eastAsia" w:ascii="仿宋_GB2312" w:eastAsia="仿宋_GB2312"/>
          <w:sz w:val="28"/>
          <w:szCs w:val="28"/>
        </w:rPr>
        <w:t>（4）SCI、EI论文应提供学校图书馆出具的科技论文收录检索证明，SCI</w:t>
      </w:r>
      <w:r>
        <w:rPr>
          <w:rFonts w:hint="eastAsia" w:ascii="仿宋_GB2312" w:hAnsi="仿宋" w:eastAsia="仿宋_GB2312"/>
          <w:sz w:val="28"/>
          <w:szCs w:val="28"/>
        </w:rPr>
        <w:t>影响因子以论文发表杂志当年影响因子计算，在线发表或接收当年未公布因子的，以前一年公布的影响因子为准。</w:t>
      </w:r>
    </w:p>
    <w:p>
      <w:pPr>
        <w:spacing w:line="600" w:lineRule="exact"/>
        <w:ind w:firstLine="560" w:firstLineChars="200"/>
        <w:jc w:val="left"/>
        <w:rPr>
          <w:rFonts w:ascii="仿宋_GB2312" w:hAnsi="仿宋" w:eastAsia="仿宋_GB2312"/>
          <w:sz w:val="28"/>
          <w:szCs w:val="28"/>
        </w:rPr>
      </w:pPr>
      <w:r>
        <w:rPr>
          <w:rFonts w:hint="eastAsia" w:ascii="仿宋_GB2312" w:eastAsia="仿宋_GB2312"/>
          <w:sz w:val="28"/>
          <w:szCs w:val="28"/>
        </w:rPr>
        <w:t>（5）</w:t>
      </w:r>
      <w:r>
        <w:rPr>
          <w:rFonts w:hint="eastAsia" w:ascii="仿宋_GB2312" w:hAnsi="仿宋" w:eastAsia="仿宋_GB2312"/>
          <w:sz w:val="28"/>
          <w:szCs w:val="28"/>
        </w:rPr>
        <w:t>授权发明专利必须是以西北农林科技大学名义获批且与本专业学科领域相关，专利权人为个人的不予认可。</w:t>
      </w:r>
    </w:p>
    <w:p>
      <w:pPr>
        <w:spacing w:line="600" w:lineRule="exact"/>
        <w:ind w:firstLine="643" w:firstLineChars="200"/>
        <w:rPr>
          <w:rFonts w:ascii="仿宋_GB2312" w:hAnsi="仿宋" w:eastAsia="仿宋_GB2312"/>
          <w:b/>
          <w:color w:val="000000"/>
          <w:kern w:val="0"/>
          <w:sz w:val="32"/>
          <w:szCs w:val="32"/>
        </w:rPr>
      </w:pPr>
      <w:r>
        <w:rPr>
          <w:rFonts w:hint="eastAsia" w:ascii="仿宋_GB2312" w:hAnsi="仿宋" w:eastAsia="仿宋_GB2312"/>
          <w:b/>
          <w:sz w:val="32"/>
          <w:szCs w:val="32"/>
        </w:rPr>
        <w:t>2．科研获奖计分（</w:t>
      </w:r>
      <w:r>
        <w:rPr>
          <w:rFonts w:hint="eastAsia" w:ascii="仿宋_GB2312" w:hAnsi="仿宋" w:eastAsia="仿宋_GB2312"/>
          <w:b/>
          <w:color w:val="000000"/>
          <w:kern w:val="0"/>
          <w:sz w:val="32"/>
          <w:szCs w:val="32"/>
        </w:rPr>
        <w:t>指科技进步奖、推广奖</w:t>
      </w:r>
      <w:r>
        <w:rPr>
          <w:rFonts w:hint="eastAsia" w:ascii="仿宋_GB2312" w:hAnsi="仿宋" w:eastAsia="仿宋_GB2312"/>
          <w:b/>
          <w:sz w:val="32"/>
          <w:szCs w:val="32"/>
        </w:rPr>
        <w:t>）</w:t>
      </w:r>
    </w:p>
    <w:tbl>
      <w:tblPr>
        <w:tblStyle w:val="5"/>
        <w:tblW w:w="901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05"/>
        <w:gridCol w:w="1320"/>
        <w:gridCol w:w="66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8" w:hRule="atLeast"/>
          <w:tblCellSpacing w:w="0" w:type="dxa"/>
        </w:trPr>
        <w:tc>
          <w:tcPr>
            <w:tcW w:w="2325"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before="100" w:beforeAutospacing="1" w:after="100" w:afterAutospacing="1" w:line="480" w:lineRule="exact"/>
              <w:ind w:firstLine="482" w:firstLineChars="200"/>
              <w:contextualSpacing/>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奖励级别</w:t>
            </w:r>
          </w:p>
        </w:tc>
        <w:tc>
          <w:tcPr>
            <w:tcW w:w="669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before="100" w:beforeAutospacing="1" w:after="100" w:afterAutospacing="1" w:line="480" w:lineRule="exact"/>
              <w:contextualSpacing/>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加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8" w:hRule="atLeast"/>
          <w:tblCellSpacing w:w="0" w:type="dxa"/>
        </w:trPr>
        <w:tc>
          <w:tcPr>
            <w:tcW w:w="100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before="100" w:beforeAutospacing="1" w:after="100" w:afterAutospacing="1" w:line="480" w:lineRule="exact"/>
              <w:contextualSpacing/>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国家奖</w:t>
            </w:r>
          </w:p>
        </w:tc>
        <w:tc>
          <w:tcPr>
            <w:tcW w:w="132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before="100" w:beforeAutospacing="1" w:after="100" w:afterAutospacing="1" w:line="480" w:lineRule="exact"/>
              <w:ind w:firstLine="480" w:firstLineChars="200"/>
              <w:contextualSpacing/>
              <w:jc w:val="center"/>
              <w:rPr>
                <w:rFonts w:ascii="仿宋_GB2312" w:hAnsi="仿宋_GB2312" w:eastAsia="仿宋_GB2312" w:cs="仿宋_GB2312"/>
                <w:color w:val="000000"/>
                <w:sz w:val="24"/>
                <w:szCs w:val="24"/>
              </w:rPr>
            </w:pPr>
          </w:p>
        </w:tc>
        <w:tc>
          <w:tcPr>
            <w:tcW w:w="669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before="100" w:beforeAutospacing="1" w:after="100" w:afterAutospacing="1" w:line="480" w:lineRule="exact"/>
              <w:contextualSpacing/>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证书持有者，前5名加50分，其余加40分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8" w:hRule="atLeast"/>
          <w:tblCellSpacing w:w="0" w:type="dxa"/>
        </w:trPr>
        <w:tc>
          <w:tcPr>
            <w:tcW w:w="1005" w:type="dxa"/>
            <w:vMerge w:val="restart"/>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before="100" w:beforeAutospacing="1" w:after="100" w:afterAutospacing="1" w:line="480" w:lineRule="exact"/>
              <w:contextualSpacing/>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省部级</w:t>
            </w:r>
          </w:p>
        </w:tc>
        <w:tc>
          <w:tcPr>
            <w:tcW w:w="132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before="100" w:beforeAutospacing="1" w:after="100" w:afterAutospacing="1" w:line="480" w:lineRule="exact"/>
              <w:contextualSpacing/>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一等奖</w:t>
            </w:r>
          </w:p>
        </w:tc>
        <w:tc>
          <w:tcPr>
            <w:tcW w:w="669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400" w:lineRule="exact"/>
              <w:contextualSpacing/>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前7名依次加35、30、25、20、15、10、5分，以后名次持证书者加4分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8" w:hRule="atLeast"/>
          <w:tblCellSpacing w:w="0" w:type="dxa"/>
        </w:trPr>
        <w:tc>
          <w:tcPr>
            <w:tcW w:w="1005" w:type="dxa"/>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480" w:lineRule="exact"/>
              <w:ind w:firstLine="480" w:firstLineChars="200"/>
              <w:contextualSpacing/>
              <w:jc w:val="center"/>
              <w:rPr>
                <w:rFonts w:ascii="仿宋_GB2312" w:hAnsi="仿宋_GB2312" w:eastAsia="仿宋_GB2312" w:cs="仿宋_GB2312"/>
                <w:color w:val="000000"/>
                <w:sz w:val="24"/>
                <w:szCs w:val="24"/>
              </w:rPr>
            </w:pPr>
          </w:p>
        </w:tc>
        <w:tc>
          <w:tcPr>
            <w:tcW w:w="132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before="100" w:beforeAutospacing="1" w:after="100" w:afterAutospacing="1" w:line="480" w:lineRule="exact"/>
              <w:contextualSpacing/>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二等奖</w:t>
            </w:r>
          </w:p>
        </w:tc>
        <w:tc>
          <w:tcPr>
            <w:tcW w:w="669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before="100" w:beforeAutospacing="1" w:after="100" w:afterAutospacing="1" w:line="480" w:lineRule="exact"/>
              <w:contextualSpacing/>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前5名依次加25、20、15、10、5分，以后名次持证书者加3分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8" w:hRule="atLeast"/>
          <w:tblCellSpacing w:w="0" w:type="dxa"/>
        </w:trPr>
        <w:tc>
          <w:tcPr>
            <w:tcW w:w="1005" w:type="dxa"/>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480" w:lineRule="exact"/>
              <w:ind w:firstLine="480" w:firstLineChars="200"/>
              <w:contextualSpacing/>
              <w:jc w:val="center"/>
              <w:rPr>
                <w:rFonts w:ascii="仿宋_GB2312" w:hAnsi="仿宋_GB2312" w:eastAsia="仿宋_GB2312" w:cs="仿宋_GB2312"/>
                <w:color w:val="000000"/>
                <w:sz w:val="24"/>
                <w:szCs w:val="24"/>
              </w:rPr>
            </w:pPr>
          </w:p>
        </w:tc>
        <w:tc>
          <w:tcPr>
            <w:tcW w:w="132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before="100" w:beforeAutospacing="1" w:after="100" w:afterAutospacing="1" w:line="480" w:lineRule="exact"/>
              <w:contextualSpacing/>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三等奖</w:t>
            </w:r>
          </w:p>
        </w:tc>
        <w:tc>
          <w:tcPr>
            <w:tcW w:w="669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before="100" w:beforeAutospacing="1" w:after="100" w:afterAutospacing="1" w:line="480" w:lineRule="exact"/>
              <w:contextualSpacing/>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前3名依次加15、10、5分，以后名次持证书者加2分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68" w:hRule="atLeast"/>
          <w:tblCellSpacing w:w="0" w:type="dxa"/>
        </w:trPr>
        <w:tc>
          <w:tcPr>
            <w:tcW w:w="1005" w:type="dxa"/>
            <w:vMerge w:val="restart"/>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400" w:lineRule="exact"/>
              <w:contextualSpacing/>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厅局级（校级）</w:t>
            </w:r>
          </w:p>
        </w:tc>
        <w:tc>
          <w:tcPr>
            <w:tcW w:w="132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before="100" w:beforeAutospacing="1" w:after="100" w:afterAutospacing="1" w:line="480" w:lineRule="exact"/>
              <w:contextualSpacing/>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一等奖</w:t>
            </w:r>
          </w:p>
        </w:tc>
        <w:tc>
          <w:tcPr>
            <w:tcW w:w="669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before="100" w:beforeAutospacing="1" w:after="100" w:afterAutospacing="1" w:line="480" w:lineRule="exact"/>
              <w:contextualSpacing/>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前5名依次加5、4、3、2、1分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8" w:hRule="atLeast"/>
          <w:tblCellSpacing w:w="0" w:type="dxa"/>
        </w:trPr>
        <w:tc>
          <w:tcPr>
            <w:tcW w:w="1005" w:type="dxa"/>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480" w:lineRule="exact"/>
              <w:ind w:firstLine="480" w:firstLineChars="200"/>
              <w:contextualSpacing/>
              <w:jc w:val="center"/>
              <w:rPr>
                <w:rFonts w:ascii="仿宋_GB2312" w:hAnsi="仿宋_GB2312" w:eastAsia="仿宋_GB2312" w:cs="仿宋_GB2312"/>
                <w:color w:val="000000"/>
                <w:sz w:val="24"/>
                <w:szCs w:val="24"/>
              </w:rPr>
            </w:pPr>
          </w:p>
        </w:tc>
        <w:tc>
          <w:tcPr>
            <w:tcW w:w="132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before="100" w:beforeAutospacing="1" w:after="100" w:afterAutospacing="1" w:line="480" w:lineRule="exact"/>
              <w:contextualSpacing/>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二等奖</w:t>
            </w:r>
          </w:p>
        </w:tc>
        <w:tc>
          <w:tcPr>
            <w:tcW w:w="669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before="100" w:beforeAutospacing="1" w:after="100" w:afterAutospacing="1" w:line="480" w:lineRule="exact"/>
              <w:contextualSpacing/>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前3名依次加3、2、1分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8" w:hRule="atLeast"/>
          <w:tblCellSpacing w:w="0" w:type="dxa"/>
        </w:trPr>
        <w:tc>
          <w:tcPr>
            <w:tcW w:w="1005" w:type="dxa"/>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480" w:lineRule="exact"/>
              <w:ind w:firstLine="480" w:firstLineChars="200"/>
              <w:contextualSpacing/>
              <w:jc w:val="center"/>
              <w:rPr>
                <w:rFonts w:ascii="仿宋_GB2312" w:hAnsi="仿宋_GB2312" w:eastAsia="仿宋_GB2312" w:cs="仿宋_GB2312"/>
                <w:color w:val="000000"/>
                <w:sz w:val="24"/>
                <w:szCs w:val="24"/>
              </w:rPr>
            </w:pPr>
          </w:p>
        </w:tc>
        <w:tc>
          <w:tcPr>
            <w:tcW w:w="132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before="100" w:beforeAutospacing="1" w:after="100" w:afterAutospacing="1" w:line="480" w:lineRule="exact"/>
              <w:contextualSpacing/>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三等奖</w:t>
            </w:r>
          </w:p>
        </w:tc>
        <w:tc>
          <w:tcPr>
            <w:tcW w:w="669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before="100" w:beforeAutospacing="1" w:after="100" w:afterAutospacing="1" w:line="480" w:lineRule="exact"/>
              <w:contextualSpacing/>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前2名依次加2、1分</w:t>
            </w:r>
          </w:p>
        </w:tc>
      </w:tr>
    </w:tbl>
    <w:p>
      <w:pPr>
        <w:spacing w:line="600" w:lineRule="exact"/>
        <w:rPr>
          <w:rFonts w:ascii="仿宋_GB2312" w:hAnsi="仿宋" w:eastAsia="仿宋_GB2312"/>
          <w:b/>
          <w:sz w:val="28"/>
          <w:szCs w:val="28"/>
        </w:rPr>
      </w:pPr>
      <w:r>
        <w:rPr>
          <w:rFonts w:hint="eastAsia" w:ascii="仿宋_GB2312" w:hAnsi="仿宋" w:eastAsia="仿宋_GB2312"/>
          <w:b/>
          <w:sz w:val="32"/>
          <w:szCs w:val="32"/>
        </w:rPr>
        <w:t xml:space="preserve"> 3．科研成果得分计算公式</w:t>
      </w:r>
    </w:p>
    <w:p>
      <w:pPr>
        <w:rPr>
          <w:rFonts w:ascii="仿宋_GB2312" w:hAnsi="仿宋" w:eastAsia="仿宋_GB2312"/>
          <w:b/>
          <w:sz w:val="28"/>
          <w:szCs w:val="28"/>
        </w:rPr>
      </w:pPr>
      <m:oMathPara>
        <m:oMath>
          <m:r>
            <m:rPr>
              <m:sty m:val="b"/>
            </m:rPr>
            <w:rPr>
              <w:rFonts w:hint="eastAsia" w:ascii="Cambria Math" w:hAnsi="Cambria Math" w:eastAsia="仿宋_GB2312" w:cs="Cambria Math"/>
              <w:sz w:val="28"/>
              <w:szCs w:val="28"/>
            </w:rPr>
            <m:t>科研成果得分=</m:t>
          </m:r>
          <m:f>
            <m:fPr>
              <m:ctrlPr>
                <w:rPr>
                  <w:rFonts w:hint="eastAsia" w:ascii="Cambria Math" w:hAnsi="Cambria Math" w:eastAsia="仿宋_GB2312"/>
                  <w:b/>
                  <w:sz w:val="28"/>
                  <w:szCs w:val="28"/>
                </w:rPr>
              </m:ctrlPr>
            </m:fPr>
            <m:num>
              <m:r>
                <m:rPr>
                  <m:sty m:val="b"/>
                </m:rPr>
                <w:rPr>
                  <w:rFonts w:hint="eastAsia" w:ascii="Cambria Math" w:hAnsi="Cambria Math" w:eastAsia="仿宋_GB2312"/>
                  <w:sz w:val="28"/>
                  <w:szCs w:val="28"/>
                </w:rPr>
                <m:t>学生科研成果得分总和</m:t>
              </m:r>
              <m:ctrlPr>
                <w:rPr>
                  <w:rFonts w:hint="eastAsia" w:ascii="Cambria Math" w:hAnsi="Cambria Math" w:eastAsia="仿宋_GB2312"/>
                  <w:b/>
                  <w:sz w:val="28"/>
                  <w:szCs w:val="28"/>
                </w:rPr>
              </m:ctrlPr>
            </m:num>
            <m:den>
              <m:r>
                <m:rPr>
                  <m:sty m:val="b"/>
                </m:rPr>
                <w:rPr>
                  <w:rFonts w:hint="eastAsia" w:ascii="Cambria Math" w:hAnsi="Cambria Math" w:eastAsia="仿宋_GB2312" w:cs="Cambria Math"/>
                  <w:sz w:val="28"/>
                  <w:szCs w:val="28"/>
                </w:rPr>
                <m:t>当年本专业学生科研成果得分最高分</m:t>
              </m:r>
              <m:ctrlPr>
                <w:rPr>
                  <w:rFonts w:hint="eastAsia" w:ascii="Cambria Math" w:hAnsi="Cambria Math" w:eastAsia="仿宋_GB2312"/>
                  <w:b/>
                  <w:sz w:val="28"/>
                  <w:szCs w:val="28"/>
                </w:rPr>
              </m:ctrlPr>
            </m:den>
          </m:f>
          <m:r>
            <m:rPr>
              <m:sty m:val="bi"/>
            </m:rPr>
            <w:rPr>
              <w:rFonts w:hint="eastAsia" w:ascii="MS Mincho" w:hAnsi="MS Mincho" w:eastAsia="MS Mincho" w:cs="MS Mincho"/>
              <w:sz w:val="28"/>
              <w:szCs w:val="28"/>
            </w:rPr>
            <m:t>∗</m:t>
          </m:r>
          <m:r>
            <m:rPr>
              <m:sty m:val="bi"/>
            </m:rPr>
            <w:rPr>
              <w:rFonts w:hint="eastAsia" w:ascii="Cambria Math" w:hAnsi="Cambria Math" w:eastAsia="仿宋_GB2312"/>
              <w:sz w:val="28"/>
              <w:szCs w:val="28"/>
            </w:rPr>
            <m:t>100</m:t>
          </m:r>
        </m:oMath>
      </m:oMathPara>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五、学科竞赛及社会活动(满分100分)</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社会活动考核包括担任社团职务、文体活动等，获奖部分以荣誉证书为准。</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1．参加学术、学科竞赛获奖，计分标准如下：</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国家级1</w:t>
      </w:r>
      <w:r>
        <w:rPr>
          <w:rFonts w:hint="eastAsia" w:ascii="仿宋_GB2312" w:hAnsi="仿宋" w:eastAsia="仿宋_GB2312"/>
          <w:sz w:val="32"/>
          <w:szCs w:val="32"/>
        </w:rPr>
        <w:t>～</w:t>
      </w:r>
      <w:r>
        <w:rPr>
          <w:rFonts w:hint="eastAsia" w:ascii="仿宋_GB2312" w:hAnsi="仿宋" w:eastAsia="仿宋_GB2312" w:cs="仿宋"/>
          <w:sz w:val="32"/>
          <w:szCs w:val="32"/>
        </w:rPr>
        <w:t>3名，计60分；4</w:t>
      </w:r>
      <w:r>
        <w:rPr>
          <w:rFonts w:hint="eastAsia" w:ascii="仿宋_GB2312" w:hAnsi="微软雅黑" w:eastAsia="仿宋_GB2312" w:cs="仿宋"/>
          <w:sz w:val="32"/>
          <w:szCs w:val="32"/>
        </w:rPr>
        <w:t>～</w:t>
      </w:r>
      <w:r>
        <w:rPr>
          <w:rFonts w:hint="eastAsia" w:ascii="仿宋_GB2312" w:hAnsi="仿宋" w:eastAsia="仿宋_GB2312" w:cs="仿宋"/>
          <w:sz w:val="32"/>
          <w:szCs w:val="32"/>
        </w:rPr>
        <w:t>6名，计50分；7</w:t>
      </w:r>
      <w:r>
        <w:rPr>
          <w:rFonts w:hint="eastAsia" w:ascii="仿宋_GB2312" w:hAnsi="微软雅黑" w:eastAsia="仿宋_GB2312" w:cs="仿宋"/>
          <w:sz w:val="32"/>
          <w:szCs w:val="32"/>
        </w:rPr>
        <w:t>～</w:t>
      </w:r>
      <w:r>
        <w:rPr>
          <w:rFonts w:hint="eastAsia" w:ascii="仿宋_GB2312" w:hAnsi="仿宋" w:eastAsia="仿宋_GB2312" w:cs="仿宋"/>
          <w:sz w:val="32"/>
          <w:szCs w:val="32"/>
        </w:rPr>
        <w:t>8名计40分；</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省部级1～3名，计40分；4</w:t>
      </w:r>
      <w:r>
        <w:rPr>
          <w:rFonts w:hint="eastAsia" w:ascii="仿宋_GB2312" w:hAnsi="微软雅黑" w:eastAsia="仿宋_GB2312" w:cs="仿宋"/>
          <w:sz w:val="32"/>
          <w:szCs w:val="32"/>
        </w:rPr>
        <w:t>～</w:t>
      </w:r>
      <w:r>
        <w:rPr>
          <w:rFonts w:hint="eastAsia" w:ascii="仿宋_GB2312" w:hAnsi="仿宋" w:eastAsia="仿宋_GB2312" w:cs="仿宋"/>
          <w:sz w:val="32"/>
          <w:szCs w:val="32"/>
        </w:rPr>
        <w:t>6名，计30分；7</w:t>
      </w:r>
      <w:r>
        <w:rPr>
          <w:rFonts w:hint="eastAsia" w:ascii="仿宋_GB2312" w:hAnsi="微软雅黑" w:eastAsia="仿宋_GB2312" w:cs="仿宋"/>
          <w:sz w:val="32"/>
          <w:szCs w:val="32"/>
        </w:rPr>
        <w:t>～</w:t>
      </w:r>
      <w:r>
        <w:rPr>
          <w:rFonts w:hint="eastAsia" w:ascii="仿宋_GB2312" w:hAnsi="仿宋" w:eastAsia="仿宋_GB2312" w:cs="仿宋"/>
          <w:sz w:val="32"/>
          <w:szCs w:val="32"/>
        </w:rPr>
        <w:t>8名20分；</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校级1</w:t>
      </w:r>
      <w:r>
        <w:rPr>
          <w:rFonts w:hint="eastAsia" w:ascii="仿宋_GB2312" w:hAnsi="微软雅黑" w:eastAsia="仿宋_GB2312" w:cs="仿宋"/>
          <w:sz w:val="32"/>
          <w:szCs w:val="32"/>
        </w:rPr>
        <w:t>～</w:t>
      </w:r>
      <w:r>
        <w:rPr>
          <w:rFonts w:hint="eastAsia" w:ascii="仿宋_GB2312" w:hAnsi="仿宋" w:eastAsia="仿宋_GB2312" w:cs="仿宋"/>
          <w:sz w:val="32"/>
          <w:szCs w:val="32"/>
        </w:rPr>
        <w:t>3名，计20分；4</w:t>
      </w:r>
      <w:r>
        <w:rPr>
          <w:rFonts w:hint="eastAsia" w:ascii="仿宋_GB2312" w:hAnsi="微软雅黑" w:eastAsia="仿宋_GB2312" w:cs="仿宋"/>
          <w:sz w:val="32"/>
          <w:szCs w:val="32"/>
        </w:rPr>
        <w:t>～</w:t>
      </w:r>
      <w:r>
        <w:rPr>
          <w:rFonts w:hint="eastAsia" w:ascii="仿宋_GB2312" w:hAnsi="仿宋" w:eastAsia="仿宋_GB2312" w:cs="仿宋"/>
          <w:sz w:val="32"/>
          <w:szCs w:val="32"/>
        </w:rPr>
        <w:t>6名，计16分；7</w:t>
      </w:r>
      <w:r>
        <w:rPr>
          <w:rFonts w:hint="eastAsia" w:ascii="仿宋_GB2312" w:hAnsi="微软雅黑" w:eastAsia="仿宋_GB2312" w:cs="仿宋"/>
          <w:sz w:val="32"/>
          <w:szCs w:val="32"/>
        </w:rPr>
        <w:t>～</w:t>
      </w:r>
      <w:r>
        <w:rPr>
          <w:rFonts w:hint="eastAsia" w:ascii="仿宋_GB2312" w:hAnsi="仿宋" w:eastAsia="仿宋_GB2312" w:cs="仿宋"/>
          <w:sz w:val="32"/>
          <w:szCs w:val="32"/>
        </w:rPr>
        <w:t>8名，计10分；</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院级前8名统一计分10分；</w:t>
      </w:r>
      <w:r>
        <w:rPr>
          <w:rFonts w:hint="eastAsia" w:ascii="仿宋_GB2312" w:hAnsi="仿宋" w:eastAsia="仿宋_GB2312" w:cs="仿宋"/>
          <w:b/>
          <w:sz w:val="32"/>
          <w:szCs w:val="32"/>
        </w:rPr>
        <w:t>以上项目累计不超过60分。</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2．参加学校和学院组织的文体活动获奖，计分标准如下：</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国家级1</w:t>
      </w:r>
      <w:r>
        <w:rPr>
          <w:rFonts w:hint="eastAsia" w:ascii="仿宋_GB2312" w:hAnsi="微软雅黑" w:eastAsia="仿宋_GB2312" w:cs="仿宋"/>
          <w:sz w:val="32"/>
          <w:szCs w:val="32"/>
        </w:rPr>
        <w:t>～</w:t>
      </w:r>
      <w:r>
        <w:rPr>
          <w:rFonts w:hint="eastAsia" w:ascii="仿宋_GB2312" w:hAnsi="仿宋" w:eastAsia="仿宋_GB2312" w:cs="仿宋"/>
          <w:sz w:val="32"/>
          <w:szCs w:val="32"/>
        </w:rPr>
        <w:t>3名，计30分；4</w:t>
      </w:r>
      <w:r>
        <w:rPr>
          <w:rFonts w:hint="eastAsia" w:ascii="仿宋_GB2312" w:hAnsi="微软雅黑" w:eastAsia="仿宋_GB2312" w:cs="仿宋"/>
          <w:sz w:val="32"/>
          <w:szCs w:val="32"/>
        </w:rPr>
        <w:t>～</w:t>
      </w:r>
      <w:r>
        <w:rPr>
          <w:rFonts w:hint="eastAsia" w:ascii="仿宋_GB2312" w:hAnsi="仿宋" w:eastAsia="仿宋_GB2312" w:cs="仿宋"/>
          <w:sz w:val="32"/>
          <w:szCs w:val="32"/>
        </w:rPr>
        <w:t>6名，计24分；7</w:t>
      </w:r>
      <w:r>
        <w:rPr>
          <w:rFonts w:hint="eastAsia" w:ascii="仿宋_GB2312" w:hAnsi="微软雅黑" w:eastAsia="仿宋_GB2312" w:cs="仿宋"/>
          <w:sz w:val="32"/>
          <w:szCs w:val="32"/>
        </w:rPr>
        <w:t>～</w:t>
      </w:r>
      <w:r>
        <w:rPr>
          <w:rFonts w:hint="eastAsia" w:ascii="仿宋_GB2312" w:hAnsi="仿宋" w:eastAsia="仿宋_GB2312" w:cs="仿宋"/>
          <w:sz w:val="32"/>
          <w:szCs w:val="32"/>
        </w:rPr>
        <w:t>8名计20分；</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省部级1</w:t>
      </w:r>
      <w:r>
        <w:rPr>
          <w:rFonts w:hint="eastAsia" w:ascii="仿宋_GB2312" w:hAnsi="微软雅黑" w:eastAsia="仿宋_GB2312" w:cs="仿宋"/>
          <w:sz w:val="32"/>
          <w:szCs w:val="32"/>
        </w:rPr>
        <w:t>～</w:t>
      </w:r>
      <w:r>
        <w:rPr>
          <w:rFonts w:hint="eastAsia" w:ascii="仿宋_GB2312" w:hAnsi="仿宋" w:eastAsia="仿宋_GB2312" w:cs="仿宋"/>
          <w:sz w:val="32"/>
          <w:szCs w:val="32"/>
        </w:rPr>
        <w:t>3名，计20分；4</w:t>
      </w:r>
      <w:r>
        <w:rPr>
          <w:rFonts w:hint="eastAsia" w:ascii="仿宋_GB2312" w:hAnsi="微软雅黑" w:eastAsia="仿宋_GB2312" w:cs="仿宋"/>
          <w:sz w:val="32"/>
          <w:szCs w:val="32"/>
        </w:rPr>
        <w:t>～</w:t>
      </w:r>
      <w:r>
        <w:rPr>
          <w:rFonts w:hint="eastAsia" w:ascii="仿宋_GB2312" w:hAnsi="仿宋" w:eastAsia="仿宋_GB2312" w:cs="仿宋"/>
          <w:sz w:val="32"/>
          <w:szCs w:val="32"/>
        </w:rPr>
        <w:t>6名，计14分；7</w:t>
      </w:r>
      <w:r>
        <w:rPr>
          <w:rFonts w:hint="eastAsia" w:ascii="仿宋_GB2312" w:hAnsi="微软雅黑" w:eastAsia="仿宋_GB2312" w:cs="仿宋"/>
          <w:sz w:val="32"/>
          <w:szCs w:val="32"/>
        </w:rPr>
        <w:t>～</w:t>
      </w:r>
      <w:r>
        <w:rPr>
          <w:rFonts w:hint="eastAsia" w:ascii="仿宋_GB2312" w:hAnsi="仿宋" w:eastAsia="仿宋_GB2312" w:cs="仿宋"/>
          <w:sz w:val="32"/>
          <w:szCs w:val="32"/>
        </w:rPr>
        <w:t>8名10分；</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校级1</w:t>
      </w:r>
      <w:r>
        <w:rPr>
          <w:rFonts w:hint="eastAsia" w:ascii="仿宋_GB2312" w:hAnsi="微软雅黑" w:eastAsia="仿宋_GB2312" w:cs="仿宋"/>
          <w:sz w:val="32"/>
          <w:szCs w:val="32"/>
        </w:rPr>
        <w:t>～</w:t>
      </w:r>
      <w:r>
        <w:rPr>
          <w:rFonts w:hint="eastAsia" w:ascii="仿宋_GB2312" w:hAnsi="仿宋" w:eastAsia="仿宋_GB2312" w:cs="仿宋"/>
          <w:sz w:val="32"/>
          <w:szCs w:val="32"/>
        </w:rPr>
        <w:t>3名，计10分；4</w:t>
      </w:r>
      <w:r>
        <w:rPr>
          <w:rFonts w:hint="eastAsia" w:ascii="仿宋_GB2312" w:hAnsi="微软雅黑" w:eastAsia="仿宋_GB2312" w:cs="仿宋"/>
          <w:sz w:val="32"/>
          <w:szCs w:val="32"/>
        </w:rPr>
        <w:t>～</w:t>
      </w:r>
      <w:r>
        <w:rPr>
          <w:rFonts w:hint="eastAsia" w:ascii="仿宋_GB2312" w:hAnsi="仿宋" w:eastAsia="仿宋_GB2312" w:cs="仿宋"/>
          <w:sz w:val="32"/>
          <w:szCs w:val="32"/>
        </w:rPr>
        <w:t>6名，计6分；7</w:t>
      </w:r>
      <w:r>
        <w:rPr>
          <w:rFonts w:hint="eastAsia" w:ascii="仿宋_GB2312" w:hAnsi="微软雅黑" w:eastAsia="仿宋_GB2312" w:cs="仿宋"/>
          <w:sz w:val="32"/>
          <w:szCs w:val="32"/>
        </w:rPr>
        <w:t>～</w:t>
      </w:r>
      <w:r>
        <w:rPr>
          <w:rFonts w:hint="eastAsia" w:ascii="仿宋_GB2312" w:hAnsi="仿宋" w:eastAsia="仿宋_GB2312" w:cs="仿宋"/>
          <w:sz w:val="32"/>
          <w:szCs w:val="32"/>
        </w:rPr>
        <w:t>8名，计2分；</w:t>
      </w:r>
    </w:p>
    <w:p>
      <w:pPr>
        <w:spacing w:line="600" w:lineRule="exact"/>
        <w:ind w:firstLine="640" w:firstLineChars="200"/>
        <w:jc w:val="left"/>
        <w:rPr>
          <w:rFonts w:ascii="仿宋_GB2312" w:hAnsi="仿宋" w:eastAsia="仿宋_GB2312" w:cs="仿宋"/>
          <w:b/>
          <w:sz w:val="32"/>
          <w:szCs w:val="32"/>
        </w:rPr>
      </w:pPr>
      <w:r>
        <w:rPr>
          <w:rFonts w:hint="eastAsia" w:ascii="仿宋_GB2312" w:hAnsi="仿宋" w:eastAsia="仿宋_GB2312" w:cs="仿宋"/>
          <w:sz w:val="32"/>
          <w:szCs w:val="32"/>
        </w:rPr>
        <w:t>院级前8名统一计分2分；</w:t>
      </w:r>
      <w:r>
        <w:rPr>
          <w:rFonts w:hint="eastAsia" w:ascii="仿宋_GB2312" w:hAnsi="仿宋" w:eastAsia="仿宋_GB2312" w:cs="仿宋"/>
          <w:b/>
          <w:sz w:val="32"/>
          <w:szCs w:val="32"/>
        </w:rPr>
        <w:t>以上项目累计不超过30分。</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3．担任研究生会、班级学生干部、学生党支部委员会成员：工作量饱满，积极负责，记10-8分；工作量较为饱满，记6-4分；工作量不饱满记2分;工作拖拉不负责任记0分。</w:t>
      </w:r>
      <w:r>
        <w:rPr>
          <w:rFonts w:hint="eastAsia" w:ascii="仿宋_GB2312" w:hAnsi="仿宋" w:eastAsia="仿宋_GB2312" w:cs="仿宋"/>
          <w:sz w:val="32"/>
          <w:szCs w:val="32"/>
        </w:rPr>
        <w:t>此项由研究生会主席团、班级或党支部评定，</w:t>
      </w:r>
      <w:r>
        <w:rPr>
          <w:rFonts w:hint="eastAsia" w:ascii="仿宋_GB2312" w:hAnsi="仿宋" w:eastAsia="仿宋_GB2312" w:cs="仿宋"/>
          <w:b/>
          <w:sz w:val="32"/>
          <w:szCs w:val="32"/>
        </w:rPr>
        <w:t>不累计加分</w:t>
      </w:r>
      <w:r>
        <w:rPr>
          <w:rFonts w:hint="eastAsia" w:ascii="仿宋_GB2312" w:hAnsi="仿宋" w:eastAsia="仿宋_GB2312" w:cs="仿宋"/>
          <w:sz w:val="32"/>
          <w:szCs w:val="32"/>
        </w:rPr>
        <w:t>。</w:t>
      </w:r>
    </w:p>
    <w:p>
      <w:pPr>
        <w:spacing w:line="600" w:lineRule="exact"/>
        <w:ind w:firstLine="643" w:firstLineChars="200"/>
        <w:jc w:val="left"/>
        <w:rPr>
          <w:rFonts w:ascii="仿宋_GB2312" w:hAnsi="仿宋" w:eastAsia="仿宋_GB2312" w:cs="仿宋"/>
          <w:b/>
          <w:sz w:val="32"/>
          <w:szCs w:val="32"/>
        </w:rPr>
      </w:pPr>
    </w:p>
    <w:sectPr>
      <w:footerReference r:id="rId3" w:type="default"/>
      <w:pgSz w:w="11906" w:h="16838"/>
      <w:pgMar w:top="1440" w:right="1588" w:bottom="1440"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A72554"/>
    <w:multiLevelType w:val="multilevel"/>
    <w:tmpl w:val="3BA72554"/>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ED1"/>
    <w:rsid w:val="00001246"/>
    <w:rsid w:val="00003E3C"/>
    <w:rsid w:val="000123AB"/>
    <w:rsid w:val="000123DF"/>
    <w:rsid w:val="000129DA"/>
    <w:rsid w:val="00017462"/>
    <w:rsid w:val="00020B39"/>
    <w:rsid w:val="00032FA8"/>
    <w:rsid w:val="00033214"/>
    <w:rsid w:val="00034900"/>
    <w:rsid w:val="00035652"/>
    <w:rsid w:val="000408B4"/>
    <w:rsid w:val="0004096E"/>
    <w:rsid w:val="0004125B"/>
    <w:rsid w:val="0004480F"/>
    <w:rsid w:val="000509D1"/>
    <w:rsid w:val="00052228"/>
    <w:rsid w:val="00052EED"/>
    <w:rsid w:val="000569E4"/>
    <w:rsid w:val="0006143E"/>
    <w:rsid w:val="000630EA"/>
    <w:rsid w:val="000668FC"/>
    <w:rsid w:val="00081CB8"/>
    <w:rsid w:val="000822CB"/>
    <w:rsid w:val="000858AD"/>
    <w:rsid w:val="00092F8F"/>
    <w:rsid w:val="000A70F7"/>
    <w:rsid w:val="000B5F4F"/>
    <w:rsid w:val="000C081B"/>
    <w:rsid w:val="000C43A4"/>
    <w:rsid w:val="000C47F9"/>
    <w:rsid w:val="000C4A35"/>
    <w:rsid w:val="000C5075"/>
    <w:rsid w:val="000C6067"/>
    <w:rsid w:val="000C6CC0"/>
    <w:rsid w:val="000D3F29"/>
    <w:rsid w:val="000D4A11"/>
    <w:rsid w:val="000D5877"/>
    <w:rsid w:val="000E064B"/>
    <w:rsid w:val="000E25F5"/>
    <w:rsid w:val="000E6821"/>
    <w:rsid w:val="000E767B"/>
    <w:rsid w:val="000F18B4"/>
    <w:rsid w:val="000F4582"/>
    <w:rsid w:val="000F5B52"/>
    <w:rsid w:val="000F698A"/>
    <w:rsid w:val="00100805"/>
    <w:rsid w:val="00101D94"/>
    <w:rsid w:val="00104032"/>
    <w:rsid w:val="0010549A"/>
    <w:rsid w:val="00136E5C"/>
    <w:rsid w:val="0014199F"/>
    <w:rsid w:val="001424B8"/>
    <w:rsid w:val="001457A2"/>
    <w:rsid w:val="001464CC"/>
    <w:rsid w:val="00146D4C"/>
    <w:rsid w:val="00147F1B"/>
    <w:rsid w:val="0016172F"/>
    <w:rsid w:val="00162B24"/>
    <w:rsid w:val="00165EA9"/>
    <w:rsid w:val="00177D64"/>
    <w:rsid w:val="001852D1"/>
    <w:rsid w:val="0018663B"/>
    <w:rsid w:val="00190E73"/>
    <w:rsid w:val="00192440"/>
    <w:rsid w:val="00194C00"/>
    <w:rsid w:val="00195D51"/>
    <w:rsid w:val="001A04C9"/>
    <w:rsid w:val="001A3F45"/>
    <w:rsid w:val="001A7825"/>
    <w:rsid w:val="001C0671"/>
    <w:rsid w:val="001C2931"/>
    <w:rsid w:val="001C52C8"/>
    <w:rsid w:val="001D02E7"/>
    <w:rsid w:val="001D55A6"/>
    <w:rsid w:val="001D5E01"/>
    <w:rsid w:val="001D70C4"/>
    <w:rsid w:val="001E09E6"/>
    <w:rsid w:val="001E114F"/>
    <w:rsid w:val="001E66FF"/>
    <w:rsid w:val="001E6CDC"/>
    <w:rsid w:val="001F0351"/>
    <w:rsid w:val="001F1737"/>
    <w:rsid w:val="001F388B"/>
    <w:rsid w:val="001F66FB"/>
    <w:rsid w:val="001F6956"/>
    <w:rsid w:val="002032EE"/>
    <w:rsid w:val="00205BC8"/>
    <w:rsid w:val="00211383"/>
    <w:rsid w:val="00211DEF"/>
    <w:rsid w:val="002122C6"/>
    <w:rsid w:val="00213FBA"/>
    <w:rsid w:val="00215CC4"/>
    <w:rsid w:val="00224509"/>
    <w:rsid w:val="00224DE2"/>
    <w:rsid w:val="002251A3"/>
    <w:rsid w:val="002264A0"/>
    <w:rsid w:val="00231D4A"/>
    <w:rsid w:val="00237190"/>
    <w:rsid w:val="00240DD5"/>
    <w:rsid w:val="00244434"/>
    <w:rsid w:val="00260611"/>
    <w:rsid w:val="0026209D"/>
    <w:rsid w:val="00265231"/>
    <w:rsid w:val="00266816"/>
    <w:rsid w:val="00270E7C"/>
    <w:rsid w:val="00274327"/>
    <w:rsid w:val="00274528"/>
    <w:rsid w:val="00276170"/>
    <w:rsid w:val="00277A3F"/>
    <w:rsid w:val="00281786"/>
    <w:rsid w:val="002837BC"/>
    <w:rsid w:val="0028480B"/>
    <w:rsid w:val="00293B3A"/>
    <w:rsid w:val="00296C39"/>
    <w:rsid w:val="002A4D26"/>
    <w:rsid w:val="002B1011"/>
    <w:rsid w:val="002B2E82"/>
    <w:rsid w:val="002B3562"/>
    <w:rsid w:val="002C6157"/>
    <w:rsid w:val="002D626B"/>
    <w:rsid w:val="002F07A1"/>
    <w:rsid w:val="00311C12"/>
    <w:rsid w:val="00312091"/>
    <w:rsid w:val="00324043"/>
    <w:rsid w:val="00326952"/>
    <w:rsid w:val="00335159"/>
    <w:rsid w:val="00342595"/>
    <w:rsid w:val="00343380"/>
    <w:rsid w:val="003527E3"/>
    <w:rsid w:val="003529CA"/>
    <w:rsid w:val="00356BDD"/>
    <w:rsid w:val="003575CF"/>
    <w:rsid w:val="0036331F"/>
    <w:rsid w:val="00380CE3"/>
    <w:rsid w:val="003857A9"/>
    <w:rsid w:val="003859E2"/>
    <w:rsid w:val="0039105D"/>
    <w:rsid w:val="00391742"/>
    <w:rsid w:val="00391E8B"/>
    <w:rsid w:val="003967D4"/>
    <w:rsid w:val="003A1A3C"/>
    <w:rsid w:val="003A5323"/>
    <w:rsid w:val="003C13DF"/>
    <w:rsid w:val="003C37BF"/>
    <w:rsid w:val="003C5B38"/>
    <w:rsid w:val="003D4DA5"/>
    <w:rsid w:val="003E50A3"/>
    <w:rsid w:val="003F2268"/>
    <w:rsid w:val="003F3EB9"/>
    <w:rsid w:val="003F4543"/>
    <w:rsid w:val="003F708D"/>
    <w:rsid w:val="00400A7B"/>
    <w:rsid w:val="004013FC"/>
    <w:rsid w:val="0040372C"/>
    <w:rsid w:val="00404B6A"/>
    <w:rsid w:val="00405832"/>
    <w:rsid w:val="00405F81"/>
    <w:rsid w:val="00406868"/>
    <w:rsid w:val="00413CE3"/>
    <w:rsid w:val="00432E98"/>
    <w:rsid w:val="004360EB"/>
    <w:rsid w:val="0044216B"/>
    <w:rsid w:val="004515B0"/>
    <w:rsid w:val="0045680C"/>
    <w:rsid w:val="00462A90"/>
    <w:rsid w:val="00473653"/>
    <w:rsid w:val="00475085"/>
    <w:rsid w:val="00476299"/>
    <w:rsid w:val="00476F4B"/>
    <w:rsid w:val="00485B95"/>
    <w:rsid w:val="00493095"/>
    <w:rsid w:val="00493BAB"/>
    <w:rsid w:val="004A28F7"/>
    <w:rsid w:val="004B398E"/>
    <w:rsid w:val="004B3C95"/>
    <w:rsid w:val="004B3D57"/>
    <w:rsid w:val="004B5644"/>
    <w:rsid w:val="004C3D0E"/>
    <w:rsid w:val="004D0167"/>
    <w:rsid w:val="004D4399"/>
    <w:rsid w:val="004D6C11"/>
    <w:rsid w:val="004E059E"/>
    <w:rsid w:val="004E0F0A"/>
    <w:rsid w:val="004E0FF2"/>
    <w:rsid w:val="004E3112"/>
    <w:rsid w:val="004E4E12"/>
    <w:rsid w:val="004F442A"/>
    <w:rsid w:val="004F76DF"/>
    <w:rsid w:val="00501C4D"/>
    <w:rsid w:val="005140B8"/>
    <w:rsid w:val="00515C53"/>
    <w:rsid w:val="00520981"/>
    <w:rsid w:val="005324C7"/>
    <w:rsid w:val="0053408D"/>
    <w:rsid w:val="00541659"/>
    <w:rsid w:val="00544CE7"/>
    <w:rsid w:val="00553272"/>
    <w:rsid w:val="0055755C"/>
    <w:rsid w:val="0056620D"/>
    <w:rsid w:val="00575B94"/>
    <w:rsid w:val="00580E34"/>
    <w:rsid w:val="005861C6"/>
    <w:rsid w:val="00586DBD"/>
    <w:rsid w:val="005D1CFA"/>
    <w:rsid w:val="005D1F3F"/>
    <w:rsid w:val="005D3A22"/>
    <w:rsid w:val="005E0A76"/>
    <w:rsid w:val="005E7ED8"/>
    <w:rsid w:val="005F1617"/>
    <w:rsid w:val="006003C2"/>
    <w:rsid w:val="00605366"/>
    <w:rsid w:val="006054E6"/>
    <w:rsid w:val="00605A06"/>
    <w:rsid w:val="00620C57"/>
    <w:rsid w:val="00621A36"/>
    <w:rsid w:val="00624193"/>
    <w:rsid w:val="00624544"/>
    <w:rsid w:val="006341DF"/>
    <w:rsid w:val="00637041"/>
    <w:rsid w:val="00646869"/>
    <w:rsid w:val="00660EFD"/>
    <w:rsid w:val="00672DE3"/>
    <w:rsid w:val="00683588"/>
    <w:rsid w:val="00683881"/>
    <w:rsid w:val="006857D1"/>
    <w:rsid w:val="00686289"/>
    <w:rsid w:val="00687047"/>
    <w:rsid w:val="00691F5D"/>
    <w:rsid w:val="006952CE"/>
    <w:rsid w:val="006961F4"/>
    <w:rsid w:val="006968B6"/>
    <w:rsid w:val="006A1E25"/>
    <w:rsid w:val="006B3538"/>
    <w:rsid w:val="006B4929"/>
    <w:rsid w:val="006C2413"/>
    <w:rsid w:val="006D3924"/>
    <w:rsid w:val="006E704D"/>
    <w:rsid w:val="007129E7"/>
    <w:rsid w:val="0072088C"/>
    <w:rsid w:val="00720BA0"/>
    <w:rsid w:val="00724B38"/>
    <w:rsid w:val="00733565"/>
    <w:rsid w:val="00746503"/>
    <w:rsid w:val="007478E2"/>
    <w:rsid w:val="00752161"/>
    <w:rsid w:val="0075301D"/>
    <w:rsid w:val="00762CF5"/>
    <w:rsid w:val="007653CB"/>
    <w:rsid w:val="007654FF"/>
    <w:rsid w:val="00766B60"/>
    <w:rsid w:val="007670C7"/>
    <w:rsid w:val="007708B2"/>
    <w:rsid w:val="007730C9"/>
    <w:rsid w:val="007815BD"/>
    <w:rsid w:val="007954BE"/>
    <w:rsid w:val="007A1ACC"/>
    <w:rsid w:val="007A284C"/>
    <w:rsid w:val="007B4BB9"/>
    <w:rsid w:val="007B73C9"/>
    <w:rsid w:val="007B75A7"/>
    <w:rsid w:val="007C3A03"/>
    <w:rsid w:val="007C3DCF"/>
    <w:rsid w:val="007D33DE"/>
    <w:rsid w:val="007E5ED5"/>
    <w:rsid w:val="007F0467"/>
    <w:rsid w:val="007F4340"/>
    <w:rsid w:val="007F7EBA"/>
    <w:rsid w:val="00803186"/>
    <w:rsid w:val="00807BF2"/>
    <w:rsid w:val="0081114C"/>
    <w:rsid w:val="008154BA"/>
    <w:rsid w:val="00820BD3"/>
    <w:rsid w:val="00827654"/>
    <w:rsid w:val="0083014D"/>
    <w:rsid w:val="008323A8"/>
    <w:rsid w:val="00832651"/>
    <w:rsid w:val="00833339"/>
    <w:rsid w:val="00834D47"/>
    <w:rsid w:val="00844C9B"/>
    <w:rsid w:val="0085206D"/>
    <w:rsid w:val="008528CA"/>
    <w:rsid w:val="00852B7C"/>
    <w:rsid w:val="00885D83"/>
    <w:rsid w:val="008943DD"/>
    <w:rsid w:val="0089486D"/>
    <w:rsid w:val="008A0B80"/>
    <w:rsid w:val="008B3307"/>
    <w:rsid w:val="008B5C1E"/>
    <w:rsid w:val="008C02D5"/>
    <w:rsid w:val="008C0B9C"/>
    <w:rsid w:val="008C27A3"/>
    <w:rsid w:val="008C5102"/>
    <w:rsid w:val="008D1DF2"/>
    <w:rsid w:val="008E24AB"/>
    <w:rsid w:val="008E3A2C"/>
    <w:rsid w:val="008E4DC1"/>
    <w:rsid w:val="008E4F36"/>
    <w:rsid w:val="008E6689"/>
    <w:rsid w:val="008F1DF5"/>
    <w:rsid w:val="008F2505"/>
    <w:rsid w:val="008F50A4"/>
    <w:rsid w:val="008F63C5"/>
    <w:rsid w:val="008F711B"/>
    <w:rsid w:val="00907CCF"/>
    <w:rsid w:val="00911451"/>
    <w:rsid w:val="009131B2"/>
    <w:rsid w:val="009150AF"/>
    <w:rsid w:val="00917C63"/>
    <w:rsid w:val="0092341E"/>
    <w:rsid w:val="00930308"/>
    <w:rsid w:val="0094051F"/>
    <w:rsid w:val="009528BC"/>
    <w:rsid w:val="009554D2"/>
    <w:rsid w:val="00956C1E"/>
    <w:rsid w:val="009608C0"/>
    <w:rsid w:val="0096169A"/>
    <w:rsid w:val="00962554"/>
    <w:rsid w:val="009836C6"/>
    <w:rsid w:val="009943EF"/>
    <w:rsid w:val="009A5FC7"/>
    <w:rsid w:val="009B238E"/>
    <w:rsid w:val="009D6CD6"/>
    <w:rsid w:val="009F06B7"/>
    <w:rsid w:val="009F1295"/>
    <w:rsid w:val="009F4867"/>
    <w:rsid w:val="00A03FC1"/>
    <w:rsid w:val="00A15C82"/>
    <w:rsid w:val="00A25AC0"/>
    <w:rsid w:val="00A263B3"/>
    <w:rsid w:val="00A34A51"/>
    <w:rsid w:val="00A35ADC"/>
    <w:rsid w:val="00A40E79"/>
    <w:rsid w:val="00A53C8E"/>
    <w:rsid w:val="00A61366"/>
    <w:rsid w:val="00A618A5"/>
    <w:rsid w:val="00A70AC5"/>
    <w:rsid w:val="00A71638"/>
    <w:rsid w:val="00A81489"/>
    <w:rsid w:val="00A828AC"/>
    <w:rsid w:val="00A8423D"/>
    <w:rsid w:val="00A84386"/>
    <w:rsid w:val="00A90006"/>
    <w:rsid w:val="00A94FC3"/>
    <w:rsid w:val="00AB6A20"/>
    <w:rsid w:val="00AB7513"/>
    <w:rsid w:val="00AC0112"/>
    <w:rsid w:val="00AC7B8A"/>
    <w:rsid w:val="00AD5F20"/>
    <w:rsid w:val="00AF03CF"/>
    <w:rsid w:val="00AF0685"/>
    <w:rsid w:val="00AF15AD"/>
    <w:rsid w:val="00B007AA"/>
    <w:rsid w:val="00B01AFB"/>
    <w:rsid w:val="00B12C83"/>
    <w:rsid w:val="00B1687C"/>
    <w:rsid w:val="00B2108E"/>
    <w:rsid w:val="00B311D2"/>
    <w:rsid w:val="00B37F51"/>
    <w:rsid w:val="00B54F80"/>
    <w:rsid w:val="00B61660"/>
    <w:rsid w:val="00B62A1D"/>
    <w:rsid w:val="00B6614E"/>
    <w:rsid w:val="00B67D13"/>
    <w:rsid w:val="00B717EF"/>
    <w:rsid w:val="00B75C73"/>
    <w:rsid w:val="00B8464D"/>
    <w:rsid w:val="00B864DD"/>
    <w:rsid w:val="00B92188"/>
    <w:rsid w:val="00B93D06"/>
    <w:rsid w:val="00BA2057"/>
    <w:rsid w:val="00BA6015"/>
    <w:rsid w:val="00BB072B"/>
    <w:rsid w:val="00BB10C2"/>
    <w:rsid w:val="00BB2934"/>
    <w:rsid w:val="00BB42BD"/>
    <w:rsid w:val="00BC01E8"/>
    <w:rsid w:val="00BC1B9A"/>
    <w:rsid w:val="00BC58ED"/>
    <w:rsid w:val="00BC6E8D"/>
    <w:rsid w:val="00BD060E"/>
    <w:rsid w:val="00BE369A"/>
    <w:rsid w:val="00BF5842"/>
    <w:rsid w:val="00C03E28"/>
    <w:rsid w:val="00C12022"/>
    <w:rsid w:val="00C1585D"/>
    <w:rsid w:val="00C23F57"/>
    <w:rsid w:val="00C24B96"/>
    <w:rsid w:val="00C279B7"/>
    <w:rsid w:val="00C32FA4"/>
    <w:rsid w:val="00C40764"/>
    <w:rsid w:val="00C54F00"/>
    <w:rsid w:val="00C812B5"/>
    <w:rsid w:val="00C84269"/>
    <w:rsid w:val="00C879BC"/>
    <w:rsid w:val="00C94BC1"/>
    <w:rsid w:val="00C97187"/>
    <w:rsid w:val="00CA732B"/>
    <w:rsid w:val="00CB1A6C"/>
    <w:rsid w:val="00CB20FE"/>
    <w:rsid w:val="00CB53F9"/>
    <w:rsid w:val="00CB7BE1"/>
    <w:rsid w:val="00CC7644"/>
    <w:rsid w:val="00CD2B3C"/>
    <w:rsid w:val="00CD62B4"/>
    <w:rsid w:val="00CD6D35"/>
    <w:rsid w:val="00CE0CE9"/>
    <w:rsid w:val="00CE2A65"/>
    <w:rsid w:val="00CE3519"/>
    <w:rsid w:val="00CE53A7"/>
    <w:rsid w:val="00CE5CBA"/>
    <w:rsid w:val="00CF2135"/>
    <w:rsid w:val="00D05E5D"/>
    <w:rsid w:val="00D11865"/>
    <w:rsid w:val="00D20645"/>
    <w:rsid w:val="00D2246D"/>
    <w:rsid w:val="00D23DFC"/>
    <w:rsid w:val="00D2466F"/>
    <w:rsid w:val="00D27AA5"/>
    <w:rsid w:val="00D32440"/>
    <w:rsid w:val="00D37400"/>
    <w:rsid w:val="00D437BD"/>
    <w:rsid w:val="00D44488"/>
    <w:rsid w:val="00D46F8D"/>
    <w:rsid w:val="00D47B14"/>
    <w:rsid w:val="00D52F64"/>
    <w:rsid w:val="00D542B8"/>
    <w:rsid w:val="00D5491D"/>
    <w:rsid w:val="00D56E16"/>
    <w:rsid w:val="00D617B2"/>
    <w:rsid w:val="00D73DB5"/>
    <w:rsid w:val="00D7571D"/>
    <w:rsid w:val="00D83EFF"/>
    <w:rsid w:val="00D84E33"/>
    <w:rsid w:val="00D873D1"/>
    <w:rsid w:val="00D957E9"/>
    <w:rsid w:val="00DA5FF6"/>
    <w:rsid w:val="00DB24CF"/>
    <w:rsid w:val="00DB2A3E"/>
    <w:rsid w:val="00DC07A8"/>
    <w:rsid w:val="00DC30B1"/>
    <w:rsid w:val="00DD4E40"/>
    <w:rsid w:val="00DD52C3"/>
    <w:rsid w:val="00DD53AD"/>
    <w:rsid w:val="00DD62D7"/>
    <w:rsid w:val="00DE784E"/>
    <w:rsid w:val="00DF2708"/>
    <w:rsid w:val="00DF3804"/>
    <w:rsid w:val="00DF404B"/>
    <w:rsid w:val="00DF513D"/>
    <w:rsid w:val="00DF57FD"/>
    <w:rsid w:val="00DF5ED1"/>
    <w:rsid w:val="00DF66F7"/>
    <w:rsid w:val="00E02A22"/>
    <w:rsid w:val="00E13C18"/>
    <w:rsid w:val="00E2023B"/>
    <w:rsid w:val="00E20902"/>
    <w:rsid w:val="00E225AC"/>
    <w:rsid w:val="00E237EB"/>
    <w:rsid w:val="00E35768"/>
    <w:rsid w:val="00E40B27"/>
    <w:rsid w:val="00E417DB"/>
    <w:rsid w:val="00E44751"/>
    <w:rsid w:val="00E46E3B"/>
    <w:rsid w:val="00E46FF4"/>
    <w:rsid w:val="00E50525"/>
    <w:rsid w:val="00E510F4"/>
    <w:rsid w:val="00E66443"/>
    <w:rsid w:val="00E721B8"/>
    <w:rsid w:val="00E86CC1"/>
    <w:rsid w:val="00EA778A"/>
    <w:rsid w:val="00EB57E9"/>
    <w:rsid w:val="00ED2A68"/>
    <w:rsid w:val="00ED7401"/>
    <w:rsid w:val="00EE50BA"/>
    <w:rsid w:val="00EF343C"/>
    <w:rsid w:val="00EF5944"/>
    <w:rsid w:val="00F014BA"/>
    <w:rsid w:val="00F06962"/>
    <w:rsid w:val="00F1005D"/>
    <w:rsid w:val="00F11330"/>
    <w:rsid w:val="00F14BC8"/>
    <w:rsid w:val="00F23FC1"/>
    <w:rsid w:val="00F250F2"/>
    <w:rsid w:val="00F27807"/>
    <w:rsid w:val="00F3491D"/>
    <w:rsid w:val="00F35487"/>
    <w:rsid w:val="00F3782D"/>
    <w:rsid w:val="00F4370C"/>
    <w:rsid w:val="00F43902"/>
    <w:rsid w:val="00F530B5"/>
    <w:rsid w:val="00F53A80"/>
    <w:rsid w:val="00F54717"/>
    <w:rsid w:val="00F554EF"/>
    <w:rsid w:val="00F559DC"/>
    <w:rsid w:val="00F74398"/>
    <w:rsid w:val="00F74B90"/>
    <w:rsid w:val="00F8350E"/>
    <w:rsid w:val="00F85D5B"/>
    <w:rsid w:val="00F94CCE"/>
    <w:rsid w:val="00FB1261"/>
    <w:rsid w:val="00FB32FB"/>
    <w:rsid w:val="00FC7346"/>
    <w:rsid w:val="00FD50B7"/>
    <w:rsid w:val="00FD5A84"/>
    <w:rsid w:val="00FD6E36"/>
    <w:rsid w:val="00FE0884"/>
    <w:rsid w:val="00FE5536"/>
    <w:rsid w:val="00FF32A4"/>
    <w:rsid w:val="00FF644F"/>
    <w:rsid w:val="02680A75"/>
    <w:rsid w:val="04FB7B54"/>
    <w:rsid w:val="2DCA66FE"/>
    <w:rsid w:val="46AE2CD7"/>
    <w:rsid w:val="5F953B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link w:val="4"/>
    <w:qFormat/>
    <w:uiPriority w:val="99"/>
    <w:rPr>
      <w:sz w:val="18"/>
      <w:szCs w:val="18"/>
    </w:rPr>
  </w:style>
  <w:style w:type="character" w:customStyle="1" w:styleId="9">
    <w:name w:val="页脚 Char"/>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link w:val="2"/>
    <w:semiHidden/>
    <w:qFormat/>
    <w:uiPriority w:val="99"/>
    <w:rPr>
      <w:sz w:val="18"/>
      <w:szCs w:val="18"/>
    </w:rPr>
  </w:style>
  <w:style w:type="table" w:customStyle="1" w:styleId="12">
    <w:name w:val="网格型1"/>
    <w:basedOn w:val="5"/>
    <w:unhideWhenUsed/>
    <w:qFormat/>
    <w:uiPriority w:val="9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3">
    <w:name w:val="No Spacing"/>
    <w:link w:val="14"/>
    <w:qFormat/>
    <w:uiPriority w:val="1"/>
    <w:rPr>
      <w:rFonts w:ascii="Calibri" w:hAnsi="Calibri" w:eastAsia="宋体" w:cs="Times New Roman"/>
      <w:sz w:val="22"/>
      <w:szCs w:val="22"/>
      <w:lang w:val="en-US" w:eastAsia="zh-CN" w:bidi="ar-SA"/>
    </w:rPr>
  </w:style>
  <w:style w:type="character" w:customStyle="1" w:styleId="14">
    <w:name w:val="无间隔 Char"/>
    <w:link w:val="13"/>
    <w:qFormat/>
    <w:uiPriority w:val="1"/>
    <w:rPr>
      <w:sz w:val="22"/>
      <w:szCs w:val="22"/>
    </w:rPr>
  </w:style>
  <w:style w:type="character" w:styleId="15">
    <w:name w:val="Placeholder Text"/>
    <w:basedOn w:val="7"/>
    <w:semiHidden/>
    <w:qFormat/>
    <w:uiPriority w:val="99"/>
    <w:rPr>
      <w:color w:val="808080"/>
    </w:rPr>
  </w:style>
  <w:style w:type="paragraph" w:customStyle="1" w:styleId="16">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576</Words>
  <Characters>3288</Characters>
  <Lines>27</Lines>
  <Paragraphs>7</Paragraphs>
  <TotalTime>49</TotalTime>
  <ScaleCrop>false</ScaleCrop>
  <LinksUpToDate>false</LinksUpToDate>
  <CharactersWithSpaces>3857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2016-10-17T06:05:00Z</dcterms:created>
  <dc:creator>温晓英</dc:creator>
  <cp:lastModifiedBy>米粒</cp:lastModifiedBy>
  <cp:lastPrinted>2018-10-11T01:00:00Z</cp:lastPrinted>
  <dcterms:modified xsi:type="dcterms:W3CDTF">2021-10-19T01:08:59Z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9F5922F018D34446A9C9120462E85516</vt:lpwstr>
  </property>
</Properties>
</file>